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7D" w:rsidRPr="005046E7" w:rsidRDefault="008A747D" w:rsidP="008A747D">
      <w:pPr>
        <w:pStyle w:val="Overskrift3"/>
        <w:rPr>
          <w:rStyle w:val="Overskrift3Tegn"/>
          <w:b/>
          <w:lang w:val="en-GB"/>
        </w:rPr>
      </w:pPr>
      <w:bookmarkStart w:id="0" w:name="_Toc362252506"/>
      <w:bookmarkStart w:id="1" w:name="_GoBack"/>
      <w:bookmarkEnd w:id="1"/>
      <w:r w:rsidRPr="005046E7">
        <w:rPr>
          <w:rStyle w:val="Overskrift3Tegn"/>
          <w:b/>
          <w:lang w:val="en-GB"/>
        </w:rPr>
        <w:t>Contents of Programme Document</w:t>
      </w:r>
      <w:bookmarkEnd w:id="0"/>
    </w:p>
    <w:p w:rsidR="008A747D" w:rsidRPr="00837596" w:rsidRDefault="00837596" w:rsidP="008A747D">
      <w:pPr>
        <w:rPr>
          <w:i/>
          <w:lang w:val="en-GB"/>
        </w:rPr>
      </w:pPr>
      <w:r w:rsidRPr="0034252A">
        <w:rPr>
          <w:i/>
          <w:highlight w:val="yellow"/>
          <w:lang w:val="en-GB"/>
        </w:rPr>
        <w:t xml:space="preserve">[Note: </w:t>
      </w:r>
      <w:r w:rsidR="002F3683" w:rsidRPr="0034252A">
        <w:rPr>
          <w:i/>
          <w:highlight w:val="yellow"/>
          <w:lang w:val="en-GB"/>
        </w:rPr>
        <w:t xml:space="preserve">This template </w:t>
      </w:r>
      <w:proofErr w:type="gramStart"/>
      <w:r w:rsidR="002F3683" w:rsidRPr="0034252A">
        <w:rPr>
          <w:i/>
          <w:highlight w:val="yellow"/>
          <w:lang w:val="en-GB"/>
        </w:rPr>
        <w:t>can be used</w:t>
      </w:r>
      <w:proofErr w:type="gramEnd"/>
      <w:r w:rsidR="002F3683" w:rsidRPr="0034252A">
        <w:rPr>
          <w:i/>
          <w:highlight w:val="yellow"/>
          <w:lang w:val="en-GB"/>
        </w:rPr>
        <w:t xml:space="preserve"> </w:t>
      </w:r>
      <w:r w:rsidR="00727093" w:rsidRPr="0034252A">
        <w:rPr>
          <w:i/>
          <w:highlight w:val="yellow"/>
          <w:lang w:val="en-GB"/>
        </w:rPr>
        <w:t>for both country programmes, regional programmes and thematic programmes</w:t>
      </w:r>
      <w:r w:rsidR="006D7098" w:rsidRPr="0034252A">
        <w:rPr>
          <w:i/>
          <w:highlight w:val="yellow"/>
          <w:lang w:val="en-GB"/>
        </w:rPr>
        <w:t xml:space="preserve">. </w:t>
      </w:r>
      <w:r w:rsidR="00F63F3B">
        <w:rPr>
          <w:i/>
          <w:highlight w:val="yellow"/>
          <w:lang w:val="en-GB"/>
        </w:rPr>
        <w:t xml:space="preserve">Another template has been prepared for </w:t>
      </w:r>
      <w:r w:rsidR="00727093" w:rsidRPr="0034252A">
        <w:rPr>
          <w:i/>
          <w:highlight w:val="yellow"/>
          <w:lang w:val="en-GB"/>
        </w:rPr>
        <w:t>single</w:t>
      </w:r>
      <w:r w:rsidRPr="0034252A">
        <w:rPr>
          <w:i/>
          <w:highlight w:val="yellow"/>
          <w:lang w:val="en-GB"/>
        </w:rPr>
        <w:t>-partner projects</w:t>
      </w:r>
      <w:r w:rsidR="00F63F3B">
        <w:rPr>
          <w:i/>
          <w:highlight w:val="yellow"/>
          <w:lang w:val="en-GB"/>
        </w:rPr>
        <w:t xml:space="preserve">. This template </w:t>
      </w:r>
      <w:proofErr w:type="gramStart"/>
      <w:r w:rsidRPr="0034252A">
        <w:rPr>
          <w:i/>
          <w:highlight w:val="yellow"/>
          <w:lang w:val="en-GB"/>
        </w:rPr>
        <w:t>can be downloaded</w:t>
      </w:r>
      <w:proofErr w:type="gramEnd"/>
      <w:r w:rsidRPr="0034252A">
        <w:rPr>
          <w:i/>
          <w:highlight w:val="yellow"/>
          <w:lang w:val="en-GB"/>
        </w:rPr>
        <w:t xml:space="preserve"> from the AMG-website.</w:t>
      </w:r>
      <w:r w:rsidR="004616DD" w:rsidRPr="0034252A">
        <w:rPr>
          <w:i/>
          <w:highlight w:val="yellow"/>
          <w:lang w:val="en-GB"/>
        </w:rPr>
        <w:t xml:space="preserve"> </w:t>
      </w:r>
      <w:r w:rsidRPr="0034252A">
        <w:rPr>
          <w:i/>
          <w:highlight w:val="yellow"/>
          <w:lang w:val="en-GB"/>
        </w:rPr>
        <w:t>]</w:t>
      </w:r>
      <w:r w:rsidR="004616DD" w:rsidRPr="00837596">
        <w:rPr>
          <w:i/>
          <w:lang w:val="en-GB"/>
        </w:rPr>
        <w:t xml:space="preserve"> </w:t>
      </w:r>
      <w:r w:rsidR="002F3683" w:rsidRPr="00837596">
        <w:rPr>
          <w:i/>
          <w:lang w:val="en-GB"/>
        </w:rPr>
        <w:t xml:space="preserve"> </w:t>
      </w:r>
      <w:r w:rsidR="008A747D" w:rsidRPr="00837596">
        <w:rPr>
          <w:i/>
          <w:lang w:val="en-GB"/>
        </w:rPr>
        <w:t xml:space="preserve"> </w:t>
      </w:r>
    </w:p>
    <w:p w:rsidR="008A747D" w:rsidRPr="00ED5E4F" w:rsidRDefault="008A747D" w:rsidP="008A747D">
      <w:pPr>
        <w:spacing w:after="0"/>
        <w:jc w:val="both"/>
        <w:rPr>
          <w:b/>
          <w:lang w:val="en-GB"/>
        </w:rPr>
      </w:pPr>
      <w:r w:rsidRPr="00ED5E4F">
        <w:rPr>
          <w:b/>
          <w:lang w:val="en-GB"/>
        </w:rPr>
        <w:t xml:space="preserve">Cover page </w:t>
      </w:r>
    </w:p>
    <w:p w:rsidR="008A747D" w:rsidRPr="00ED5E4F" w:rsidRDefault="00BE5F16" w:rsidP="008A747D">
      <w:pPr>
        <w:spacing w:line="240" w:lineRule="auto"/>
        <w:jc w:val="both"/>
        <w:rPr>
          <w:lang w:val="en-GB"/>
        </w:rPr>
      </w:pPr>
      <w:r>
        <w:rPr>
          <w:lang w:val="en-GB"/>
        </w:rPr>
        <w:t>See Appropriation Cover Note format</w:t>
      </w:r>
      <w:r w:rsidR="00E53408">
        <w:rPr>
          <w:lang w:val="en-GB"/>
        </w:rPr>
        <w:t>.</w:t>
      </w:r>
    </w:p>
    <w:p w:rsidR="008A747D" w:rsidRDefault="008A747D" w:rsidP="008A747D">
      <w:pPr>
        <w:pStyle w:val="Listeafsnit"/>
        <w:numPr>
          <w:ilvl w:val="0"/>
          <w:numId w:val="3"/>
        </w:numPr>
        <w:spacing w:line="240" w:lineRule="auto"/>
        <w:jc w:val="both"/>
        <w:rPr>
          <w:b/>
          <w:lang w:val="en-GB"/>
        </w:rPr>
      </w:pPr>
      <w:r w:rsidRPr="00B35D71">
        <w:rPr>
          <w:b/>
          <w:lang w:val="en-GB"/>
        </w:rPr>
        <w:t>Introduction</w:t>
      </w:r>
    </w:p>
    <w:p w:rsidR="00C47C1C" w:rsidRPr="00C47C1C" w:rsidRDefault="00C47C1C" w:rsidP="00C47C1C">
      <w:pPr>
        <w:spacing w:line="240" w:lineRule="auto"/>
        <w:jc w:val="both"/>
        <w:rPr>
          <w:lang w:val="en-GB"/>
        </w:rPr>
      </w:pPr>
      <w:r w:rsidRPr="00C47C1C">
        <w:rPr>
          <w:lang w:val="en-GB"/>
        </w:rPr>
        <w:t xml:space="preserve">Brief introduction regarding the strategic frame which the programme refers to. </w:t>
      </w:r>
    </w:p>
    <w:p w:rsidR="008A747D" w:rsidRPr="00ED5E4F" w:rsidRDefault="00FC71D5" w:rsidP="008A747D">
      <w:pPr>
        <w:spacing w:line="240" w:lineRule="auto"/>
        <w:jc w:val="both"/>
        <w:rPr>
          <w:b/>
          <w:lang w:val="en-GB"/>
        </w:rPr>
      </w:pPr>
      <w:r>
        <w:rPr>
          <w:b/>
          <w:lang w:val="en-GB"/>
        </w:rPr>
        <w:t>2. Strategic considerations and justification</w:t>
      </w:r>
    </w:p>
    <w:p w:rsidR="008A747D" w:rsidRPr="00ED5E4F" w:rsidRDefault="008A747D" w:rsidP="008A747D">
      <w:pPr>
        <w:spacing w:line="240" w:lineRule="auto"/>
        <w:jc w:val="both"/>
        <w:rPr>
          <w:lang w:val="en-GB"/>
        </w:rPr>
      </w:pPr>
      <w:r w:rsidRPr="00ED5E4F">
        <w:rPr>
          <w:lang w:val="en-GB"/>
        </w:rPr>
        <w:t xml:space="preserve">Context for the </w:t>
      </w:r>
      <w:r>
        <w:rPr>
          <w:lang w:val="en-GB"/>
        </w:rPr>
        <w:t>p</w:t>
      </w:r>
      <w:r w:rsidRPr="00ED5E4F">
        <w:rPr>
          <w:lang w:val="en-GB"/>
        </w:rPr>
        <w:t xml:space="preserve">rogramme and </w:t>
      </w:r>
      <w:r>
        <w:rPr>
          <w:lang w:val="en-GB"/>
        </w:rPr>
        <w:t>development</w:t>
      </w:r>
      <w:r w:rsidRPr="00ED5E4F">
        <w:rPr>
          <w:lang w:val="en-GB"/>
        </w:rPr>
        <w:t xml:space="preserve"> </w:t>
      </w:r>
      <w:r>
        <w:rPr>
          <w:lang w:val="en-GB"/>
        </w:rPr>
        <w:t>engagements</w:t>
      </w:r>
      <w:r w:rsidR="00BE5F16">
        <w:rPr>
          <w:lang w:val="en-GB"/>
        </w:rPr>
        <w:t>.</w:t>
      </w:r>
    </w:p>
    <w:p w:rsidR="0034252A" w:rsidRDefault="00DE4F73" w:rsidP="0034252A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>Brief s</w:t>
      </w:r>
      <w:r w:rsidR="004616DD">
        <w:rPr>
          <w:lang w:val="en-GB"/>
        </w:rPr>
        <w:t>ummary</w:t>
      </w:r>
      <w:r w:rsidR="00537B2A">
        <w:rPr>
          <w:lang w:val="en-GB"/>
        </w:rPr>
        <w:t xml:space="preserve"> of the national/regional</w:t>
      </w:r>
      <w:r w:rsidR="00537B2A" w:rsidRPr="00ED5E4F">
        <w:rPr>
          <w:lang w:val="en-GB"/>
        </w:rPr>
        <w:t xml:space="preserve"> political, social, economic</w:t>
      </w:r>
      <w:r w:rsidR="00537B2A">
        <w:rPr>
          <w:lang w:val="en-GB"/>
        </w:rPr>
        <w:t>, environmental, humanitarian, security</w:t>
      </w:r>
      <w:r w:rsidR="00537B2A" w:rsidRPr="00ED5E4F">
        <w:rPr>
          <w:lang w:val="en-GB"/>
        </w:rPr>
        <w:t xml:space="preserve"> and human rights</w:t>
      </w:r>
      <w:r w:rsidR="0074630C">
        <w:rPr>
          <w:lang w:val="en-GB"/>
        </w:rPr>
        <w:t>, stakeholder</w:t>
      </w:r>
      <w:r w:rsidR="00537B2A" w:rsidRPr="00ED5E4F">
        <w:rPr>
          <w:lang w:val="en-GB"/>
        </w:rPr>
        <w:t xml:space="preserve"> context </w:t>
      </w:r>
      <w:r w:rsidR="007E441A">
        <w:rPr>
          <w:lang w:val="en-GB"/>
        </w:rPr>
        <w:t xml:space="preserve">and the specific opportunities, challenges and risks </w:t>
      </w:r>
      <w:r w:rsidR="00537B2A">
        <w:rPr>
          <w:lang w:val="en-GB"/>
        </w:rPr>
        <w:t>building on the context analysis</w:t>
      </w:r>
      <w:r w:rsidR="0067022D">
        <w:rPr>
          <w:lang w:val="en-GB"/>
        </w:rPr>
        <w:t>.</w:t>
      </w:r>
      <w:r w:rsidR="00675F57">
        <w:rPr>
          <w:lang w:val="en-GB"/>
        </w:rPr>
        <w:t xml:space="preserve"> </w:t>
      </w:r>
      <w:r w:rsidR="0034252A">
        <w:rPr>
          <w:lang w:val="en-GB"/>
        </w:rPr>
        <w:t>Note that r</w:t>
      </w:r>
      <w:r w:rsidR="00675F57">
        <w:rPr>
          <w:lang w:val="en-GB"/>
        </w:rPr>
        <w:t xml:space="preserve">eference </w:t>
      </w:r>
      <w:proofErr w:type="gramStart"/>
      <w:r w:rsidR="00675F57">
        <w:rPr>
          <w:lang w:val="en-GB"/>
        </w:rPr>
        <w:t>can be made</w:t>
      </w:r>
      <w:proofErr w:type="gramEnd"/>
      <w:r w:rsidR="00675F57">
        <w:rPr>
          <w:lang w:val="en-GB"/>
        </w:rPr>
        <w:t xml:space="preserve"> to the </w:t>
      </w:r>
      <w:r w:rsidR="0034252A">
        <w:rPr>
          <w:lang w:val="en-GB"/>
        </w:rPr>
        <w:t xml:space="preserve">more </w:t>
      </w:r>
      <w:r w:rsidR="00675F57">
        <w:rPr>
          <w:lang w:val="en-GB"/>
        </w:rPr>
        <w:t>detail</w:t>
      </w:r>
      <w:r w:rsidR="0034252A">
        <w:rPr>
          <w:lang w:val="en-GB"/>
        </w:rPr>
        <w:t>ed</w:t>
      </w:r>
      <w:r w:rsidR="00675F57">
        <w:rPr>
          <w:lang w:val="en-GB"/>
        </w:rPr>
        <w:t xml:space="preserve"> context analysis </w:t>
      </w:r>
      <w:r w:rsidR="0034252A">
        <w:rPr>
          <w:lang w:val="en-GB"/>
        </w:rPr>
        <w:t xml:space="preserve">provided </w:t>
      </w:r>
      <w:r w:rsidR="00675F57">
        <w:rPr>
          <w:lang w:val="en-GB"/>
        </w:rPr>
        <w:t>in the standard Annex 1.</w:t>
      </w:r>
    </w:p>
    <w:p w:rsidR="008A747D" w:rsidRPr="000944B3" w:rsidRDefault="00675F57" w:rsidP="000944B3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>S</w:t>
      </w:r>
      <w:r w:rsidR="00B50DAB">
        <w:rPr>
          <w:lang w:val="en-GB"/>
        </w:rPr>
        <w:t>ummary</w:t>
      </w:r>
      <w:r w:rsidR="008A747D" w:rsidRPr="00ED5E4F">
        <w:rPr>
          <w:lang w:val="en-GB"/>
        </w:rPr>
        <w:t xml:space="preserve"> of the </w:t>
      </w:r>
      <w:r w:rsidR="00C47C1C">
        <w:rPr>
          <w:lang w:val="en-GB"/>
        </w:rPr>
        <w:t>strategic framework</w:t>
      </w:r>
      <w:r w:rsidR="008A747D" w:rsidRPr="000944B3">
        <w:rPr>
          <w:lang w:val="en-GB"/>
        </w:rPr>
        <w:t xml:space="preserve"> and overall strategic objectives</w:t>
      </w:r>
      <w:r w:rsidR="0067022D">
        <w:rPr>
          <w:lang w:val="en-GB"/>
        </w:rPr>
        <w:t>.</w:t>
      </w:r>
      <w:r w:rsidR="008A747D" w:rsidRPr="000944B3">
        <w:rPr>
          <w:lang w:val="en-GB"/>
        </w:rPr>
        <w:t xml:space="preserve"> </w:t>
      </w:r>
    </w:p>
    <w:p w:rsidR="00DE4F73" w:rsidRDefault="00DE4F73" w:rsidP="00DE4F73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 xml:space="preserve">Brief presentation of past results and lessons learned of relevance and how they </w:t>
      </w:r>
      <w:proofErr w:type="gramStart"/>
      <w:r>
        <w:rPr>
          <w:lang w:val="en-GB"/>
        </w:rPr>
        <w:t>have been taken</w:t>
      </w:r>
      <w:proofErr w:type="gramEnd"/>
      <w:r>
        <w:rPr>
          <w:lang w:val="en-GB"/>
        </w:rPr>
        <w:t xml:space="preserve"> into consideration in the design of the programme.  </w:t>
      </w:r>
    </w:p>
    <w:p w:rsidR="00F217A8" w:rsidRPr="00ED5E4F" w:rsidRDefault="00F217A8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 xml:space="preserve">Justification of </w:t>
      </w:r>
      <w:r w:rsidR="00C47C1C">
        <w:rPr>
          <w:lang w:val="en-GB"/>
        </w:rPr>
        <w:t>intervention, at</w:t>
      </w:r>
      <w:r>
        <w:rPr>
          <w:lang w:val="en-GB"/>
        </w:rPr>
        <w:t xml:space="preserve"> programme level –</w:t>
      </w:r>
      <w:r w:rsidRPr="00C47C1C">
        <w:rPr>
          <w:i/>
          <w:lang w:val="en-GB"/>
        </w:rPr>
        <w:t xml:space="preserve">thematic justification </w:t>
      </w:r>
      <w:proofErr w:type="gramStart"/>
      <w:r w:rsidRPr="00C47C1C">
        <w:rPr>
          <w:i/>
          <w:lang w:val="en-GB"/>
        </w:rPr>
        <w:t>is described</w:t>
      </w:r>
      <w:proofErr w:type="gramEnd"/>
      <w:r w:rsidRPr="00C47C1C">
        <w:rPr>
          <w:i/>
          <w:lang w:val="en-GB"/>
        </w:rPr>
        <w:t xml:space="preserve"> under thematic programmes</w:t>
      </w:r>
      <w:r>
        <w:rPr>
          <w:lang w:val="en-GB"/>
        </w:rPr>
        <w:t>.</w:t>
      </w:r>
    </w:p>
    <w:p w:rsidR="0074630C" w:rsidRDefault="00C47C1C" w:rsidP="00B953CA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>P</w:t>
      </w:r>
      <w:r w:rsidR="00B953CA">
        <w:rPr>
          <w:lang w:val="en-GB"/>
        </w:rPr>
        <w:t xml:space="preserve">rogramme </w:t>
      </w:r>
      <w:r w:rsidR="00B953CA" w:rsidRPr="00ED5E4F">
        <w:rPr>
          <w:lang w:val="en-GB"/>
        </w:rPr>
        <w:t>Results Framework (</w:t>
      </w:r>
      <w:r w:rsidR="00893CA6">
        <w:rPr>
          <w:lang w:val="en-GB"/>
        </w:rPr>
        <w:t xml:space="preserve">at </w:t>
      </w:r>
      <w:r w:rsidR="00B953CA" w:rsidRPr="00ED5E4F">
        <w:rPr>
          <w:lang w:val="en-GB"/>
        </w:rPr>
        <w:t>objectives</w:t>
      </w:r>
      <w:r w:rsidR="00893CA6">
        <w:rPr>
          <w:lang w:val="en-GB"/>
        </w:rPr>
        <w:t xml:space="preserve"> and outcome-level</w:t>
      </w:r>
      <w:r w:rsidR="00B953CA" w:rsidRPr="00ED5E4F">
        <w:rPr>
          <w:lang w:val="en-GB"/>
        </w:rPr>
        <w:t>)</w:t>
      </w:r>
      <w:r w:rsidR="0067022D">
        <w:rPr>
          <w:lang w:val="en-GB"/>
        </w:rPr>
        <w:t>.</w:t>
      </w:r>
    </w:p>
    <w:p w:rsidR="007E441A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ED5E4F">
        <w:rPr>
          <w:lang w:val="en-GB"/>
        </w:rPr>
        <w:t>Adherence to the aid effectiveness agenda</w:t>
      </w:r>
      <w:r w:rsidR="0067022D">
        <w:rPr>
          <w:lang w:val="en-GB"/>
        </w:rPr>
        <w:t>,</w:t>
      </w:r>
      <w:r w:rsidRPr="00ED5E4F">
        <w:rPr>
          <w:lang w:val="en-GB"/>
        </w:rPr>
        <w:t xml:space="preserve"> including alignment to national objectives and partner strategies</w:t>
      </w:r>
      <w:r w:rsidR="00FC5C27">
        <w:rPr>
          <w:lang w:val="en-GB"/>
        </w:rPr>
        <w:t>, and opportunities for working with or through other development partners and multilaterals.</w:t>
      </w:r>
    </w:p>
    <w:p w:rsidR="008A747D" w:rsidRDefault="007E441A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>Considerations about synergies between humanitarian and development assistance and security and fragility</w:t>
      </w:r>
      <w:r w:rsidR="00683C3C">
        <w:rPr>
          <w:lang w:val="en-GB"/>
        </w:rPr>
        <w:t xml:space="preserve"> situation</w:t>
      </w:r>
      <w:r w:rsidR="00F217A8">
        <w:rPr>
          <w:lang w:val="en-GB"/>
        </w:rPr>
        <w:t>.</w:t>
      </w:r>
    </w:p>
    <w:p w:rsidR="00FC5C27" w:rsidRPr="00ED5E4F" w:rsidRDefault="00FC5C27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>Considerations about</w:t>
      </w:r>
      <w:r w:rsidR="00F85215">
        <w:rPr>
          <w:lang w:val="en-GB"/>
        </w:rPr>
        <w:t xml:space="preserve"> Danish strengths, interest and opportunities for engaging Danish public, private and civil society actors</w:t>
      </w:r>
      <w:r w:rsidR="0067022D">
        <w:rPr>
          <w:lang w:val="en-GB"/>
        </w:rPr>
        <w:t>.</w:t>
      </w:r>
    </w:p>
    <w:p w:rsidR="008A747D" w:rsidRPr="00ED5E4F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ED5E4F">
        <w:rPr>
          <w:lang w:val="en-GB"/>
        </w:rPr>
        <w:t>Contextual risks</w:t>
      </w:r>
      <w:r w:rsidR="00683C3C">
        <w:rPr>
          <w:lang w:val="en-GB"/>
        </w:rPr>
        <w:t xml:space="preserve"> and </w:t>
      </w:r>
      <w:r w:rsidR="00C47C1C">
        <w:rPr>
          <w:lang w:val="en-GB"/>
        </w:rPr>
        <w:t xml:space="preserve">possible </w:t>
      </w:r>
      <w:r w:rsidR="00683C3C">
        <w:rPr>
          <w:lang w:val="en-GB"/>
        </w:rPr>
        <w:t>scenario analysis</w:t>
      </w:r>
      <w:r w:rsidR="00C47C1C">
        <w:rPr>
          <w:lang w:val="en-GB"/>
        </w:rPr>
        <w:t>.</w:t>
      </w:r>
      <w:r w:rsidR="00683C3C">
        <w:rPr>
          <w:lang w:val="en-GB"/>
        </w:rPr>
        <w:t xml:space="preserve"> </w:t>
      </w:r>
    </w:p>
    <w:p w:rsidR="008A747D" w:rsidRPr="00ED5E4F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ED5E4F">
        <w:rPr>
          <w:lang w:val="en-GB"/>
        </w:rPr>
        <w:t xml:space="preserve">Budget for the </w:t>
      </w:r>
      <w:r>
        <w:rPr>
          <w:lang w:val="en-GB"/>
        </w:rPr>
        <w:t>programme</w:t>
      </w:r>
      <w:r w:rsidRPr="00ED5E4F">
        <w:rPr>
          <w:lang w:val="en-GB"/>
        </w:rPr>
        <w:t xml:space="preserve"> at thematic programme level</w:t>
      </w:r>
      <w:r w:rsidR="00010300">
        <w:rPr>
          <w:lang w:val="en-GB"/>
        </w:rPr>
        <w:t>.</w:t>
      </w:r>
    </w:p>
    <w:p w:rsidR="00087916" w:rsidRPr="00ED5E4F" w:rsidRDefault="00087916" w:rsidP="008A747D">
      <w:pPr>
        <w:pStyle w:val="Listeafsnit"/>
        <w:spacing w:line="240" w:lineRule="auto"/>
        <w:ind w:left="1440"/>
        <w:jc w:val="both"/>
        <w:rPr>
          <w:lang w:val="en-GB"/>
        </w:rPr>
      </w:pPr>
    </w:p>
    <w:p w:rsidR="008A747D" w:rsidRPr="00ED5E4F" w:rsidRDefault="008A747D" w:rsidP="008A747D">
      <w:pPr>
        <w:spacing w:line="240" w:lineRule="auto"/>
        <w:jc w:val="both"/>
        <w:rPr>
          <w:b/>
          <w:lang w:val="en-GB"/>
        </w:rPr>
      </w:pPr>
      <w:r w:rsidRPr="00ED5E4F">
        <w:rPr>
          <w:b/>
          <w:lang w:val="en-GB"/>
        </w:rPr>
        <w:t>3. Thematic Programm</w:t>
      </w:r>
      <w:r w:rsidR="00BE5F16">
        <w:rPr>
          <w:b/>
          <w:lang w:val="en-GB"/>
        </w:rPr>
        <w:t>e summary</w:t>
      </w:r>
      <w:r w:rsidRPr="00ED5E4F">
        <w:rPr>
          <w:b/>
          <w:lang w:val="en-GB"/>
        </w:rPr>
        <w:t xml:space="preserve"> (Note: to </w:t>
      </w:r>
      <w:r>
        <w:rPr>
          <w:b/>
          <w:lang w:val="en-GB"/>
        </w:rPr>
        <w:t>be repeated for each t</w:t>
      </w:r>
      <w:r w:rsidRPr="00ED5E4F">
        <w:rPr>
          <w:b/>
          <w:lang w:val="en-GB"/>
        </w:rPr>
        <w:t>hematic</w:t>
      </w:r>
      <w:r>
        <w:rPr>
          <w:b/>
          <w:lang w:val="en-GB"/>
        </w:rPr>
        <w:t xml:space="preserve"> p</w:t>
      </w:r>
      <w:r w:rsidRPr="00ED5E4F">
        <w:rPr>
          <w:b/>
          <w:lang w:val="en-GB"/>
        </w:rPr>
        <w:t>rogramme</w:t>
      </w:r>
      <w:r w:rsidR="00C47C1C">
        <w:rPr>
          <w:b/>
          <w:lang w:val="en-GB"/>
        </w:rPr>
        <w:t xml:space="preserve"> if multiple thematic programmes</w:t>
      </w:r>
      <w:r w:rsidRPr="00ED5E4F">
        <w:rPr>
          <w:b/>
          <w:lang w:val="en-GB"/>
        </w:rPr>
        <w:t>).</w:t>
      </w:r>
    </w:p>
    <w:p w:rsidR="008A747D" w:rsidRPr="00ED5E4F" w:rsidRDefault="008A747D" w:rsidP="008A747D">
      <w:pPr>
        <w:spacing w:after="0" w:line="240" w:lineRule="auto"/>
        <w:ind w:left="360"/>
        <w:jc w:val="both"/>
        <w:rPr>
          <w:lang w:val="en-GB"/>
        </w:rPr>
      </w:pPr>
      <w:r w:rsidRPr="00ED5E4F">
        <w:rPr>
          <w:lang w:val="en-GB"/>
        </w:rPr>
        <w:t xml:space="preserve">3.1. Strategic considerations and justification of the </w:t>
      </w:r>
      <w:r>
        <w:rPr>
          <w:lang w:val="en-GB"/>
        </w:rPr>
        <w:t>t</w:t>
      </w:r>
      <w:r w:rsidRPr="00ED5E4F">
        <w:rPr>
          <w:lang w:val="en-GB"/>
        </w:rPr>
        <w:t xml:space="preserve">hematic </w:t>
      </w:r>
      <w:r>
        <w:rPr>
          <w:lang w:val="en-GB"/>
        </w:rPr>
        <w:t>p</w:t>
      </w:r>
      <w:r w:rsidRPr="00ED5E4F">
        <w:rPr>
          <w:lang w:val="en-GB"/>
        </w:rPr>
        <w:t>rogramme</w:t>
      </w:r>
      <w:r w:rsidR="004F77E2">
        <w:rPr>
          <w:lang w:val="en-GB"/>
        </w:rPr>
        <w:t>.</w:t>
      </w:r>
    </w:p>
    <w:p w:rsidR="008A747D" w:rsidRPr="00FC71D5" w:rsidRDefault="0074630C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>S</w:t>
      </w:r>
      <w:r w:rsidR="008A747D" w:rsidRPr="00FC71D5">
        <w:rPr>
          <w:lang w:val="en-GB"/>
        </w:rPr>
        <w:t xml:space="preserve">trategic considerations (supported by </w:t>
      </w:r>
      <w:r>
        <w:rPr>
          <w:lang w:val="en-GB"/>
        </w:rPr>
        <w:t xml:space="preserve">the </w:t>
      </w:r>
      <w:r w:rsidR="00DB2A19">
        <w:rPr>
          <w:lang w:val="en-GB"/>
        </w:rPr>
        <w:t>Context Analysis</w:t>
      </w:r>
      <w:r>
        <w:rPr>
          <w:lang w:val="en-GB"/>
        </w:rPr>
        <w:t xml:space="preserve"> provided in Annex 1</w:t>
      </w:r>
      <w:r w:rsidR="008A747D" w:rsidRPr="00FC71D5">
        <w:rPr>
          <w:lang w:val="en-GB"/>
        </w:rPr>
        <w:t>)</w:t>
      </w:r>
      <w:r>
        <w:rPr>
          <w:lang w:val="en-GB"/>
        </w:rPr>
        <w:t xml:space="preserve"> relating to the specific thematic programme</w:t>
      </w:r>
      <w:r w:rsidR="004F77E2">
        <w:rPr>
          <w:lang w:val="en-GB"/>
        </w:rPr>
        <w:t>.</w:t>
      </w:r>
    </w:p>
    <w:p w:rsidR="0074630C" w:rsidRDefault="008A747D" w:rsidP="00EB4712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EB4712">
        <w:rPr>
          <w:lang w:val="en-GB"/>
        </w:rPr>
        <w:t xml:space="preserve">Justification in terms of </w:t>
      </w:r>
      <w:r w:rsidR="00BD12AB">
        <w:rPr>
          <w:lang w:val="en-GB"/>
        </w:rPr>
        <w:t>national</w:t>
      </w:r>
      <w:r w:rsidR="002349A1" w:rsidRPr="00EB4712">
        <w:rPr>
          <w:lang w:val="en-GB"/>
        </w:rPr>
        <w:t>/regional</w:t>
      </w:r>
      <w:r w:rsidR="0074630C">
        <w:rPr>
          <w:lang w:val="en-GB"/>
        </w:rPr>
        <w:t>, thematic</w:t>
      </w:r>
      <w:r w:rsidRPr="00EB4712">
        <w:rPr>
          <w:lang w:val="en-GB"/>
        </w:rPr>
        <w:t xml:space="preserve"> development priorities</w:t>
      </w:r>
      <w:r w:rsidR="002349A1" w:rsidRPr="0096293A">
        <w:rPr>
          <w:lang w:val="en-GB"/>
        </w:rPr>
        <w:t>/challenges</w:t>
      </w:r>
      <w:r w:rsidR="0074630C">
        <w:rPr>
          <w:lang w:val="en-GB"/>
        </w:rPr>
        <w:t>.</w:t>
      </w:r>
    </w:p>
    <w:p w:rsidR="008A747D" w:rsidRDefault="008A747D" w:rsidP="00EB4712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EB4712">
        <w:rPr>
          <w:lang w:val="en-GB"/>
        </w:rPr>
        <w:t xml:space="preserve">Justification </w:t>
      </w:r>
      <w:r w:rsidR="0074630C">
        <w:rPr>
          <w:lang w:val="en-GB"/>
        </w:rPr>
        <w:t>of</w:t>
      </w:r>
      <w:r w:rsidRPr="00EB4712">
        <w:rPr>
          <w:lang w:val="en-GB"/>
        </w:rPr>
        <w:t xml:space="preserve"> programme design based on the five quality criteria; relevance, impact, effectiveness, efficiency, and sustainability</w:t>
      </w:r>
      <w:r w:rsidR="004F77E2">
        <w:rPr>
          <w:lang w:val="en-GB"/>
        </w:rPr>
        <w:t>.</w:t>
      </w:r>
    </w:p>
    <w:p w:rsidR="00893CA6" w:rsidRPr="00C47C1C" w:rsidRDefault="00893CA6" w:rsidP="00EB4712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>Justification of choice of partners and criteria used.</w:t>
      </w:r>
    </w:p>
    <w:p w:rsidR="008A747D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FC71D5">
        <w:rPr>
          <w:lang w:val="en-GB"/>
        </w:rPr>
        <w:t xml:space="preserve">Integration results </w:t>
      </w:r>
      <w:r w:rsidR="00F17675">
        <w:rPr>
          <w:lang w:val="en-GB"/>
        </w:rPr>
        <w:t xml:space="preserve">and lessons learned </w:t>
      </w:r>
      <w:r w:rsidRPr="00FC71D5">
        <w:rPr>
          <w:lang w:val="en-GB"/>
        </w:rPr>
        <w:t>from previous cooperation</w:t>
      </w:r>
      <w:r w:rsidR="004F77E2">
        <w:rPr>
          <w:lang w:val="en-GB"/>
        </w:rPr>
        <w:t>.</w:t>
      </w:r>
    </w:p>
    <w:p w:rsidR="006A7CCA" w:rsidRDefault="006A7CCA" w:rsidP="006A7CCA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>Theory of change and key assumptions for thematic programme</w:t>
      </w:r>
      <w:r w:rsidR="004F77E2">
        <w:rPr>
          <w:lang w:val="en-GB"/>
        </w:rPr>
        <w:t>.</w:t>
      </w:r>
    </w:p>
    <w:p w:rsidR="002A7462" w:rsidRPr="00FC71D5" w:rsidRDefault="002A7462" w:rsidP="002A7462">
      <w:pPr>
        <w:pStyle w:val="Listeafsnit"/>
        <w:spacing w:line="240" w:lineRule="auto"/>
        <w:ind w:left="1098"/>
        <w:jc w:val="both"/>
        <w:rPr>
          <w:lang w:val="en-GB"/>
        </w:rPr>
      </w:pPr>
    </w:p>
    <w:p w:rsidR="008A747D" w:rsidRPr="00ED5E4F" w:rsidRDefault="008A747D" w:rsidP="00880DF9">
      <w:pPr>
        <w:spacing w:after="0" w:line="240" w:lineRule="auto"/>
        <w:ind w:left="360"/>
        <w:jc w:val="both"/>
        <w:rPr>
          <w:lang w:val="en-GB"/>
        </w:rPr>
      </w:pPr>
      <w:r w:rsidRPr="00ED5E4F">
        <w:rPr>
          <w:lang w:val="en-GB"/>
        </w:rPr>
        <w:t>3.2 Thematic Programme summary</w:t>
      </w:r>
      <w:r w:rsidR="004F77E2">
        <w:rPr>
          <w:lang w:val="en-GB"/>
        </w:rPr>
        <w:t>.</w:t>
      </w:r>
    </w:p>
    <w:p w:rsidR="008A747D" w:rsidRPr="00ED5E4F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ED5E4F">
        <w:rPr>
          <w:lang w:val="en-GB"/>
        </w:rPr>
        <w:t>Thematic programme objective</w:t>
      </w:r>
      <w:r w:rsidR="004F77E2">
        <w:rPr>
          <w:lang w:val="en-GB"/>
        </w:rPr>
        <w:t>.</w:t>
      </w:r>
      <w:r w:rsidRPr="00ED5E4F">
        <w:rPr>
          <w:lang w:val="en-GB"/>
        </w:rPr>
        <w:t xml:space="preserve"> </w:t>
      </w:r>
    </w:p>
    <w:p w:rsidR="008A747D" w:rsidRPr="00ED5E4F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ED5E4F">
        <w:rPr>
          <w:lang w:val="en-GB"/>
        </w:rPr>
        <w:lastRenderedPageBreak/>
        <w:t xml:space="preserve">Short summary of </w:t>
      </w:r>
      <w:r>
        <w:rPr>
          <w:lang w:val="en-GB"/>
        </w:rPr>
        <w:t>development</w:t>
      </w:r>
      <w:r w:rsidRPr="00ED5E4F">
        <w:rPr>
          <w:lang w:val="en-GB"/>
        </w:rPr>
        <w:t xml:space="preserve"> </w:t>
      </w:r>
      <w:r>
        <w:rPr>
          <w:lang w:val="en-GB"/>
        </w:rPr>
        <w:t>engagements</w:t>
      </w:r>
      <w:r w:rsidR="004F77E2">
        <w:rPr>
          <w:lang w:val="en-GB"/>
        </w:rPr>
        <w:t>.</w:t>
      </w:r>
    </w:p>
    <w:p w:rsidR="008A747D" w:rsidRPr="00ED5E4F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ED5E4F">
        <w:rPr>
          <w:lang w:val="en-GB"/>
        </w:rPr>
        <w:t>Results framework, including outcome indicators for all outcomes as per</w:t>
      </w:r>
      <w:r>
        <w:rPr>
          <w:lang w:val="en-GB"/>
        </w:rPr>
        <w:t xml:space="preserve"> thematic p</w:t>
      </w:r>
      <w:r w:rsidRPr="00ED5E4F">
        <w:rPr>
          <w:lang w:val="en-GB"/>
        </w:rPr>
        <w:t>rogramme</w:t>
      </w:r>
      <w:r w:rsidR="004F77E2">
        <w:rPr>
          <w:lang w:val="en-GB"/>
        </w:rPr>
        <w:t>.</w:t>
      </w:r>
      <w:r w:rsidRPr="00ED5E4F">
        <w:rPr>
          <w:lang w:val="en-GB"/>
        </w:rPr>
        <w:t xml:space="preserve"> </w:t>
      </w:r>
    </w:p>
    <w:p w:rsidR="008A747D" w:rsidRPr="00ED5E4F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ED5E4F">
        <w:rPr>
          <w:lang w:val="en-GB"/>
        </w:rPr>
        <w:t xml:space="preserve">Choice of </w:t>
      </w:r>
      <w:r>
        <w:rPr>
          <w:lang w:val="en-GB"/>
        </w:rPr>
        <w:t>development</w:t>
      </w:r>
      <w:r w:rsidRPr="00ED5E4F">
        <w:rPr>
          <w:lang w:val="en-GB"/>
        </w:rPr>
        <w:t xml:space="preserve"> </w:t>
      </w:r>
      <w:r>
        <w:rPr>
          <w:lang w:val="en-GB"/>
        </w:rPr>
        <w:t>engagement</w:t>
      </w:r>
      <w:r w:rsidRPr="00ED5E4F">
        <w:rPr>
          <w:lang w:val="en-GB"/>
        </w:rPr>
        <w:t xml:space="preserve"> partner, modalities, capacity building and technical assistance to </w:t>
      </w:r>
      <w:r>
        <w:rPr>
          <w:lang w:val="en-GB"/>
        </w:rPr>
        <w:t>engagement</w:t>
      </w:r>
      <w:r w:rsidRPr="00ED5E4F">
        <w:rPr>
          <w:lang w:val="en-GB"/>
        </w:rPr>
        <w:t xml:space="preserve"> partners</w:t>
      </w:r>
      <w:r w:rsidR="004F77E2">
        <w:rPr>
          <w:lang w:val="en-GB"/>
        </w:rPr>
        <w:t>.</w:t>
      </w:r>
    </w:p>
    <w:p w:rsidR="00B15E9F" w:rsidRDefault="00B15E9F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>Management arrangements and financial modalities</w:t>
      </w:r>
      <w:r w:rsidR="004F77E2">
        <w:rPr>
          <w:lang w:val="en-GB"/>
        </w:rPr>
        <w:t>.</w:t>
      </w:r>
      <w:r>
        <w:rPr>
          <w:lang w:val="en-GB"/>
        </w:rPr>
        <w:t xml:space="preserve"> </w:t>
      </w:r>
    </w:p>
    <w:p w:rsidR="008A747D" w:rsidRPr="00ED5E4F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ED5E4F">
        <w:rPr>
          <w:lang w:val="en-GB"/>
        </w:rPr>
        <w:t>Monitoring framework</w:t>
      </w:r>
      <w:r w:rsidR="004F77E2">
        <w:rPr>
          <w:lang w:val="en-GB"/>
        </w:rPr>
        <w:t>.</w:t>
      </w:r>
      <w:r w:rsidRPr="00ED5E4F">
        <w:rPr>
          <w:lang w:val="en-GB"/>
        </w:rPr>
        <w:t xml:space="preserve"> </w:t>
      </w:r>
    </w:p>
    <w:p w:rsidR="008A747D" w:rsidRPr="00ED5E4F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ED5E4F">
        <w:rPr>
          <w:lang w:val="en-GB"/>
        </w:rPr>
        <w:t>Budget at outcome level</w:t>
      </w:r>
      <w:r w:rsidR="004F77E2">
        <w:rPr>
          <w:lang w:val="en-GB"/>
        </w:rPr>
        <w:t>.</w:t>
      </w:r>
      <w:r w:rsidRPr="00ED5E4F">
        <w:rPr>
          <w:lang w:val="en-GB"/>
        </w:rPr>
        <w:t xml:space="preserve"> </w:t>
      </w:r>
    </w:p>
    <w:p w:rsidR="008A747D" w:rsidRPr="0054118F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54118F">
        <w:rPr>
          <w:lang w:val="en-GB"/>
        </w:rPr>
        <w:t>Summary of risk analysis and risk response for programmatic and institutional risk factors. Joint management arrangements</w:t>
      </w:r>
      <w:r w:rsidR="004F77E2">
        <w:rPr>
          <w:lang w:val="en-GB"/>
        </w:rPr>
        <w:t>.</w:t>
      </w:r>
    </w:p>
    <w:p w:rsidR="008A747D" w:rsidRPr="00ED5E4F" w:rsidRDefault="008A747D" w:rsidP="008A747D">
      <w:pPr>
        <w:pStyle w:val="Listeafsnit"/>
        <w:spacing w:after="0"/>
        <w:ind w:left="1664"/>
        <w:jc w:val="both"/>
        <w:rPr>
          <w:lang w:val="en-GB"/>
        </w:rPr>
      </w:pPr>
    </w:p>
    <w:p w:rsidR="008A747D" w:rsidRPr="00ED5E4F" w:rsidRDefault="008A747D" w:rsidP="008A747D">
      <w:pPr>
        <w:spacing w:after="0" w:line="240" w:lineRule="auto"/>
        <w:jc w:val="both"/>
        <w:rPr>
          <w:b/>
          <w:lang w:val="en-GB"/>
        </w:rPr>
      </w:pPr>
      <w:r w:rsidRPr="00ED5E4F">
        <w:rPr>
          <w:b/>
          <w:lang w:val="en-GB"/>
        </w:rPr>
        <w:t>4</w:t>
      </w:r>
      <w:r w:rsidR="00BE5F16">
        <w:rPr>
          <w:b/>
          <w:lang w:val="en-GB"/>
        </w:rPr>
        <w:t>. Overview of management set-up</w:t>
      </w:r>
    </w:p>
    <w:p w:rsidR="008A747D" w:rsidRPr="00ED5E4F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ED5E4F">
        <w:rPr>
          <w:lang w:val="en-GB"/>
        </w:rPr>
        <w:t xml:space="preserve">Present the organization and handling of the management of the </w:t>
      </w:r>
      <w:r>
        <w:rPr>
          <w:lang w:val="en-GB"/>
        </w:rPr>
        <w:t>programme across the thematic p</w:t>
      </w:r>
      <w:r w:rsidRPr="00ED5E4F">
        <w:rPr>
          <w:lang w:val="en-GB"/>
        </w:rPr>
        <w:t>rogrammes</w:t>
      </w:r>
      <w:r w:rsidR="006A1893">
        <w:rPr>
          <w:lang w:val="en-GB"/>
        </w:rPr>
        <w:t xml:space="preserve">, </w:t>
      </w:r>
      <w:r w:rsidR="00C47C1C">
        <w:rPr>
          <w:lang w:val="en-GB"/>
        </w:rPr>
        <w:t xml:space="preserve">when relevant, </w:t>
      </w:r>
      <w:r w:rsidR="006A1893">
        <w:rPr>
          <w:lang w:val="en-GB"/>
        </w:rPr>
        <w:t xml:space="preserve">and the mechanisms for </w:t>
      </w:r>
      <w:r w:rsidR="00642DC3">
        <w:rPr>
          <w:lang w:val="en-GB"/>
        </w:rPr>
        <w:t xml:space="preserve">programme level </w:t>
      </w:r>
      <w:r w:rsidR="006A1893">
        <w:rPr>
          <w:lang w:val="en-GB"/>
        </w:rPr>
        <w:t xml:space="preserve">dialogue, </w:t>
      </w:r>
      <w:r w:rsidR="0096293A">
        <w:rPr>
          <w:lang w:val="en-GB"/>
        </w:rPr>
        <w:t xml:space="preserve">ongoing </w:t>
      </w:r>
      <w:r w:rsidR="006A1893">
        <w:rPr>
          <w:lang w:val="en-GB"/>
        </w:rPr>
        <w:t>QA</w:t>
      </w:r>
      <w:r w:rsidR="0096293A">
        <w:rPr>
          <w:lang w:val="en-GB"/>
        </w:rPr>
        <w:t>, risk management</w:t>
      </w:r>
      <w:r w:rsidR="006A1893">
        <w:rPr>
          <w:lang w:val="en-GB"/>
        </w:rPr>
        <w:t xml:space="preserve"> and reviews</w:t>
      </w:r>
      <w:r w:rsidRPr="00ED5E4F">
        <w:rPr>
          <w:lang w:val="en-GB"/>
        </w:rPr>
        <w:t xml:space="preserve">. </w:t>
      </w:r>
    </w:p>
    <w:p w:rsidR="006A1893" w:rsidRDefault="006A1893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 xml:space="preserve">Summarise </w:t>
      </w:r>
      <w:r w:rsidR="00642DC3">
        <w:rPr>
          <w:lang w:val="en-GB"/>
        </w:rPr>
        <w:t>anti-corruption measures applied.</w:t>
      </w:r>
    </w:p>
    <w:p w:rsidR="00442697" w:rsidRPr="00ED5E4F" w:rsidRDefault="00442697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>Summarise the plan for communicating programme results.</w:t>
      </w:r>
    </w:p>
    <w:p w:rsidR="008A747D" w:rsidRPr="00ED5E4F" w:rsidRDefault="008A747D" w:rsidP="008A747D">
      <w:pPr>
        <w:spacing w:after="0"/>
        <w:jc w:val="both"/>
        <w:rPr>
          <w:lang w:val="en-GB"/>
        </w:rPr>
      </w:pPr>
    </w:p>
    <w:p w:rsidR="008A747D" w:rsidRPr="00ED5E4F" w:rsidRDefault="008A747D" w:rsidP="008A747D">
      <w:pPr>
        <w:spacing w:after="0" w:line="240" w:lineRule="auto"/>
        <w:jc w:val="both"/>
        <w:rPr>
          <w:b/>
          <w:lang w:val="en-GB"/>
        </w:rPr>
      </w:pPr>
      <w:r w:rsidRPr="00ED5E4F">
        <w:rPr>
          <w:b/>
          <w:lang w:val="en-GB"/>
        </w:rPr>
        <w:t xml:space="preserve">5. </w:t>
      </w:r>
      <w:r w:rsidR="00DB2A19">
        <w:rPr>
          <w:b/>
          <w:lang w:val="en-GB"/>
        </w:rPr>
        <w:t>P</w:t>
      </w:r>
      <w:r>
        <w:rPr>
          <w:b/>
          <w:lang w:val="en-GB"/>
        </w:rPr>
        <w:t>rogramme</w:t>
      </w:r>
      <w:r w:rsidRPr="00ED5E4F">
        <w:rPr>
          <w:b/>
          <w:lang w:val="en-GB"/>
        </w:rPr>
        <w:t xml:space="preserve"> budget </w:t>
      </w:r>
    </w:p>
    <w:p w:rsidR="008A747D" w:rsidRPr="00ED5E4F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>
        <w:rPr>
          <w:lang w:val="en-GB"/>
        </w:rPr>
        <w:t>Break down the budget at development</w:t>
      </w:r>
      <w:r w:rsidRPr="00ED5E4F">
        <w:rPr>
          <w:lang w:val="en-GB"/>
        </w:rPr>
        <w:t xml:space="preserve"> </w:t>
      </w:r>
      <w:r>
        <w:rPr>
          <w:lang w:val="en-GB"/>
        </w:rPr>
        <w:t>engagement</w:t>
      </w:r>
      <w:r w:rsidRPr="00ED5E4F">
        <w:rPr>
          <w:lang w:val="en-GB"/>
        </w:rPr>
        <w:t>-level</w:t>
      </w:r>
      <w:r w:rsidR="004F77E2">
        <w:rPr>
          <w:lang w:val="en-GB"/>
        </w:rPr>
        <w:t>.</w:t>
      </w:r>
    </w:p>
    <w:p w:rsidR="008A747D" w:rsidRPr="00ED5E4F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ED5E4F">
        <w:rPr>
          <w:lang w:val="en-GB"/>
        </w:rPr>
        <w:t xml:space="preserve">Include unallocated funds – both unallocated funds earmarked to already defined </w:t>
      </w:r>
      <w:proofErr w:type="gramStart"/>
      <w:r w:rsidR="007D6B69">
        <w:rPr>
          <w:lang w:val="en-GB"/>
        </w:rPr>
        <w:t>engagements,</w:t>
      </w:r>
      <w:proofErr w:type="gramEnd"/>
      <w:r w:rsidRPr="00ED5E4F">
        <w:rPr>
          <w:lang w:val="en-GB"/>
        </w:rPr>
        <w:t xml:space="preserve"> and unallocated funds </w:t>
      </w:r>
      <w:r>
        <w:rPr>
          <w:lang w:val="en-GB"/>
        </w:rPr>
        <w:t xml:space="preserve">only </w:t>
      </w:r>
      <w:r w:rsidRPr="00ED5E4F">
        <w:rPr>
          <w:lang w:val="en-GB"/>
        </w:rPr>
        <w:t>defined by thematic objectives</w:t>
      </w:r>
      <w:r>
        <w:rPr>
          <w:lang w:val="en-GB"/>
        </w:rPr>
        <w:t>.</w:t>
      </w:r>
      <w:r w:rsidRPr="00ED5E4F">
        <w:rPr>
          <w:lang w:val="en-GB"/>
        </w:rPr>
        <w:t xml:space="preserve"> </w:t>
      </w:r>
    </w:p>
    <w:p w:rsidR="008A747D" w:rsidRPr="00ED5E4F" w:rsidRDefault="008A747D" w:rsidP="008A747D">
      <w:pPr>
        <w:pStyle w:val="Listeafsnit"/>
        <w:jc w:val="both"/>
        <w:rPr>
          <w:lang w:val="en-GB"/>
        </w:rPr>
      </w:pPr>
    </w:p>
    <w:p w:rsidR="00F63F3B" w:rsidRPr="00EB431D" w:rsidRDefault="00F63F3B" w:rsidP="00F63F3B">
      <w:pPr>
        <w:spacing w:after="0"/>
        <w:rPr>
          <w:b/>
          <w:sz w:val="28"/>
          <w:szCs w:val="28"/>
          <w:lang w:val="en-GB"/>
        </w:rPr>
      </w:pPr>
      <w:r w:rsidRPr="00EB431D">
        <w:rPr>
          <w:b/>
          <w:sz w:val="28"/>
          <w:szCs w:val="28"/>
          <w:lang w:val="en-GB"/>
        </w:rPr>
        <w:t xml:space="preserve">Annexes: </w:t>
      </w:r>
    </w:p>
    <w:p w:rsidR="00F63F3B" w:rsidRDefault="00F63F3B" w:rsidP="00F63F3B">
      <w:pPr>
        <w:spacing w:line="240" w:lineRule="auto"/>
        <w:rPr>
          <w:b/>
          <w:lang w:val="en-GB"/>
        </w:rPr>
      </w:pPr>
      <w:r>
        <w:rPr>
          <w:b/>
          <w:lang w:val="en-GB"/>
        </w:rPr>
        <w:t>Annex 1:</w:t>
      </w:r>
      <w:r w:rsidRPr="00EB431D">
        <w:rPr>
          <w:b/>
          <w:lang w:val="en-GB"/>
        </w:rPr>
        <w:t xml:space="preserve"> </w:t>
      </w:r>
      <w:r>
        <w:rPr>
          <w:b/>
          <w:lang w:val="en-GB"/>
        </w:rPr>
        <w:t>Context Analysis</w:t>
      </w:r>
    </w:p>
    <w:p w:rsidR="00F63F3B" w:rsidRDefault="00F63F3B" w:rsidP="00F63F3B">
      <w:pPr>
        <w:spacing w:line="240" w:lineRule="auto"/>
        <w:rPr>
          <w:b/>
          <w:lang w:val="en-GB"/>
        </w:rPr>
      </w:pPr>
      <w:r>
        <w:rPr>
          <w:b/>
          <w:lang w:val="en-GB"/>
        </w:rPr>
        <w:t>Annex 2: Partner</w:t>
      </w:r>
    </w:p>
    <w:p w:rsidR="00F63F3B" w:rsidRDefault="00F63F3B" w:rsidP="00F63F3B">
      <w:pPr>
        <w:spacing w:line="240" w:lineRule="auto"/>
        <w:rPr>
          <w:b/>
          <w:lang w:val="en-GB"/>
        </w:rPr>
      </w:pPr>
      <w:r>
        <w:rPr>
          <w:b/>
          <w:lang w:val="en-GB"/>
        </w:rPr>
        <w:t xml:space="preserve">Annex 3: </w:t>
      </w:r>
      <w:r w:rsidRPr="00EB431D">
        <w:rPr>
          <w:b/>
          <w:lang w:val="en-GB"/>
        </w:rPr>
        <w:t xml:space="preserve">Result </w:t>
      </w:r>
      <w:r>
        <w:rPr>
          <w:b/>
          <w:lang w:val="en-GB"/>
        </w:rPr>
        <w:t>Framework</w:t>
      </w:r>
    </w:p>
    <w:p w:rsidR="00F63F3B" w:rsidRDefault="00F63F3B" w:rsidP="00F63F3B">
      <w:pPr>
        <w:spacing w:line="240" w:lineRule="auto"/>
        <w:rPr>
          <w:b/>
          <w:lang w:val="en-GB"/>
        </w:rPr>
      </w:pPr>
      <w:r>
        <w:rPr>
          <w:b/>
          <w:lang w:val="en-GB"/>
        </w:rPr>
        <w:t>Annex 4: Budget details</w:t>
      </w:r>
    </w:p>
    <w:p w:rsidR="00F63F3B" w:rsidRPr="00655B1F" w:rsidRDefault="00F63F3B" w:rsidP="00F63F3B">
      <w:pPr>
        <w:spacing w:line="240" w:lineRule="auto"/>
        <w:rPr>
          <w:b/>
          <w:lang w:val="en-GB"/>
        </w:rPr>
      </w:pPr>
      <w:r>
        <w:rPr>
          <w:b/>
          <w:lang w:val="en-GB"/>
        </w:rPr>
        <w:t xml:space="preserve">Annex 5: </w:t>
      </w:r>
      <w:r w:rsidRPr="00EB431D">
        <w:rPr>
          <w:b/>
          <w:lang w:val="en-GB"/>
        </w:rPr>
        <w:t xml:space="preserve">Risk Management Matrix </w:t>
      </w:r>
    </w:p>
    <w:p w:rsidR="00F63F3B" w:rsidRDefault="00F63F3B" w:rsidP="00F63F3B">
      <w:pPr>
        <w:rPr>
          <w:b/>
          <w:lang w:val="en-US"/>
        </w:rPr>
      </w:pPr>
      <w:r w:rsidRPr="00EB17B2">
        <w:rPr>
          <w:b/>
          <w:lang w:val="en-US"/>
        </w:rPr>
        <w:t xml:space="preserve">Annex </w:t>
      </w:r>
      <w:r>
        <w:rPr>
          <w:b/>
          <w:lang w:val="en-US"/>
        </w:rPr>
        <w:t>6</w:t>
      </w:r>
      <w:r w:rsidRPr="00EB17B2">
        <w:rPr>
          <w:b/>
          <w:lang w:val="en-US"/>
        </w:rPr>
        <w:t xml:space="preserve">: </w:t>
      </w:r>
      <w:r>
        <w:rPr>
          <w:b/>
          <w:lang w:val="en-US"/>
        </w:rPr>
        <w:t>List of supplementary materials</w:t>
      </w:r>
    </w:p>
    <w:p w:rsidR="00F63F3B" w:rsidRDefault="00F63F3B" w:rsidP="00F63F3B">
      <w:pPr>
        <w:rPr>
          <w:b/>
          <w:lang w:val="en-US"/>
        </w:rPr>
      </w:pPr>
      <w:r>
        <w:rPr>
          <w:b/>
          <w:lang w:val="en-US"/>
        </w:rPr>
        <w:t>Annex 7: Plan for communication of results</w:t>
      </w:r>
    </w:p>
    <w:p w:rsidR="00F63F3B" w:rsidRDefault="00F63F3B" w:rsidP="00F63F3B">
      <w:pPr>
        <w:rPr>
          <w:b/>
          <w:lang w:val="en-US"/>
        </w:rPr>
      </w:pPr>
      <w:r>
        <w:rPr>
          <w:b/>
          <w:lang w:val="en-US"/>
        </w:rPr>
        <w:t>Annex 8: Process Action Plan for implementation</w:t>
      </w:r>
    </w:p>
    <w:p w:rsidR="00F63F3B" w:rsidRPr="00EB17B2" w:rsidRDefault="00F63F3B" w:rsidP="00F63F3B">
      <w:pPr>
        <w:rPr>
          <w:b/>
          <w:lang w:val="en-US"/>
        </w:rPr>
      </w:pPr>
      <w:r>
        <w:rPr>
          <w:b/>
          <w:lang w:val="en-US"/>
        </w:rPr>
        <w:t>Annex 9: Signed table of appraisal recommendations and follow-up actions taken</w:t>
      </w:r>
    </w:p>
    <w:p w:rsidR="008A747D" w:rsidRPr="00F63F3B" w:rsidRDefault="008A747D" w:rsidP="008A747D">
      <w:pPr>
        <w:spacing w:after="0"/>
        <w:jc w:val="both"/>
        <w:rPr>
          <w:b/>
          <w:lang w:val="en-US"/>
        </w:rPr>
      </w:pPr>
    </w:p>
    <w:p w:rsidR="008A747D" w:rsidRPr="003D7F18" w:rsidRDefault="008A747D" w:rsidP="008A747D">
      <w:pPr>
        <w:spacing w:after="0"/>
        <w:jc w:val="both"/>
        <w:rPr>
          <w:lang w:val="en-GB"/>
        </w:rPr>
      </w:pPr>
      <w:r w:rsidRPr="008B0D17">
        <w:rPr>
          <w:b/>
          <w:lang w:val="en-GB"/>
        </w:rPr>
        <w:t>To be av</w:t>
      </w:r>
      <w:r>
        <w:rPr>
          <w:b/>
          <w:lang w:val="en-GB"/>
        </w:rPr>
        <w:t xml:space="preserve">ailable </w:t>
      </w:r>
      <w:r w:rsidR="00C47C1C">
        <w:rPr>
          <w:b/>
          <w:lang w:val="en-GB"/>
        </w:rPr>
        <w:t xml:space="preserve">to Council for Development Policy </w:t>
      </w:r>
      <w:r>
        <w:rPr>
          <w:b/>
          <w:lang w:val="en-GB"/>
        </w:rPr>
        <w:t>on request:</w:t>
      </w:r>
      <w:r w:rsidRPr="003D7F18">
        <w:rPr>
          <w:lang w:val="en-GB"/>
        </w:rPr>
        <w:t xml:space="preserve"> </w:t>
      </w:r>
    </w:p>
    <w:p w:rsidR="008A747D" w:rsidRPr="00FC71D5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FC71D5">
        <w:rPr>
          <w:lang w:val="en-GB"/>
        </w:rPr>
        <w:t>Development engagement documentation (draft engagement documents and partner’s   programme documents for all programmed development engagements)</w:t>
      </w:r>
      <w:r w:rsidR="004F77E2">
        <w:rPr>
          <w:lang w:val="en-GB"/>
        </w:rPr>
        <w:t>.</w:t>
      </w:r>
    </w:p>
    <w:p w:rsidR="008A747D" w:rsidRPr="00FC71D5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3B73B3">
        <w:rPr>
          <w:lang w:val="en-GB"/>
        </w:rPr>
        <w:t>National partner strategies (final or draft versions)</w:t>
      </w:r>
      <w:r w:rsidR="004F77E2">
        <w:rPr>
          <w:lang w:val="en-GB"/>
        </w:rPr>
        <w:t>.</w:t>
      </w:r>
    </w:p>
    <w:p w:rsidR="008A747D" w:rsidRPr="00FC71D5" w:rsidRDefault="008A747D" w:rsidP="00FC71D5">
      <w:pPr>
        <w:pStyle w:val="Listeafsnit"/>
        <w:numPr>
          <w:ilvl w:val="0"/>
          <w:numId w:val="7"/>
        </w:numPr>
        <w:spacing w:line="240" w:lineRule="auto"/>
        <w:jc w:val="both"/>
        <w:rPr>
          <w:lang w:val="en-GB"/>
        </w:rPr>
      </w:pPr>
      <w:r w:rsidRPr="003B73B3">
        <w:rPr>
          <w:lang w:val="en-GB"/>
        </w:rPr>
        <w:t>Other documents deemed relevant</w:t>
      </w:r>
      <w:r w:rsidR="004F77E2">
        <w:rPr>
          <w:lang w:val="en-GB"/>
        </w:rPr>
        <w:t>.</w:t>
      </w:r>
    </w:p>
    <w:p w:rsidR="008A747D" w:rsidRPr="00ED5E4F" w:rsidRDefault="008A747D" w:rsidP="008A747D">
      <w:pPr>
        <w:spacing w:after="0"/>
        <w:jc w:val="both"/>
        <w:rPr>
          <w:b/>
          <w:lang w:val="en-GB"/>
        </w:rPr>
      </w:pPr>
    </w:p>
    <w:p w:rsidR="00263418" w:rsidRDefault="00263418"/>
    <w:sectPr w:rsidR="002634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2DDB"/>
    <w:multiLevelType w:val="hybridMultilevel"/>
    <w:tmpl w:val="AAFE61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451B1"/>
    <w:multiLevelType w:val="hybridMultilevel"/>
    <w:tmpl w:val="9768157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F425C"/>
    <w:multiLevelType w:val="hybridMultilevel"/>
    <w:tmpl w:val="1888830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65684D"/>
    <w:multiLevelType w:val="hybridMultilevel"/>
    <w:tmpl w:val="E662D6C8"/>
    <w:lvl w:ilvl="0" w:tplc="655E4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212B9C"/>
    <w:multiLevelType w:val="hybridMultilevel"/>
    <w:tmpl w:val="B9D0D9C8"/>
    <w:lvl w:ilvl="0" w:tplc="89DE75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5647E"/>
    <w:multiLevelType w:val="hybridMultilevel"/>
    <w:tmpl w:val="7482FB5E"/>
    <w:lvl w:ilvl="0" w:tplc="F7B0AC8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06D36"/>
    <w:multiLevelType w:val="hybridMultilevel"/>
    <w:tmpl w:val="FF7E1C66"/>
    <w:lvl w:ilvl="0" w:tplc="0406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7" w15:restartNumberingAfterBreak="0">
    <w:nsid w:val="7F7C0514"/>
    <w:multiLevelType w:val="hybridMultilevel"/>
    <w:tmpl w:val="E68660A2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16"/>
    <w:rsid w:val="00005465"/>
    <w:rsid w:val="00010300"/>
    <w:rsid w:val="000315E6"/>
    <w:rsid w:val="00034894"/>
    <w:rsid w:val="00041260"/>
    <w:rsid w:val="00052FFF"/>
    <w:rsid w:val="0008620D"/>
    <w:rsid w:val="00087916"/>
    <w:rsid w:val="0009096B"/>
    <w:rsid w:val="000944B3"/>
    <w:rsid w:val="00096AC6"/>
    <w:rsid w:val="000A6FAF"/>
    <w:rsid w:val="000B35D4"/>
    <w:rsid w:val="000B7B40"/>
    <w:rsid w:val="000D1DA9"/>
    <w:rsid w:val="000E0BA7"/>
    <w:rsid w:val="000E2880"/>
    <w:rsid w:val="000E298B"/>
    <w:rsid w:val="000F075D"/>
    <w:rsid w:val="00101BDC"/>
    <w:rsid w:val="0012412D"/>
    <w:rsid w:val="001278BE"/>
    <w:rsid w:val="00134B6A"/>
    <w:rsid w:val="00142644"/>
    <w:rsid w:val="001635C9"/>
    <w:rsid w:val="00182A3C"/>
    <w:rsid w:val="001C76A7"/>
    <w:rsid w:val="00207B57"/>
    <w:rsid w:val="00211D79"/>
    <w:rsid w:val="00217410"/>
    <w:rsid w:val="002305A9"/>
    <w:rsid w:val="002349A1"/>
    <w:rsid w:val="00240DED"/>
    <w:rsid w:val="0024378F"/>
    <w:rsid w:val="002462BA"/>
    <w:rsid w:val="00263418"/>
    <w:rsid w:val="0027320F"/>
    <w:rsid w:val="002971C4"/>
    <w:rsid w:val="002A07F3"/>
    <w:rsid w:val="002A7462"/>
    <w:rsid w:val="002B3C9F"/>
    <w:rsid w:val="002B42DA"/>
    <w:rsid w:val="002D1531"/>
    <w:rsid w:val="002D175F"/>
    <w:rsid w:val="002D353B"/>
    <w:rsid w:val="002D5C40"/>
    <w:rsid w:val="002E5891"/>
    <w:rsid w:val="002E58AD"/>
    <w:rsid w:val="002F3683"/>
    <w:rsid w:val="002F5307"/>
    <w:rsid w:val="003040D0"/>
    <w:rsid w:val="00312E4F"/>
    <w:rsid w:val="00332DA2"/>
    <w:rsid w:val="0034252A"/>
    <w:rsid w:val="00364CBE"/>
    <w:rsid w:val="00376309"/>
    <w:rsid w:val="0038243A"/>
    <w:rsid w:val="003866D7"/>
    <w:rsid w:val="003A6AC0"/>
    <w:rsid w:val="003D22A7"/>
    <w:rsid w:val="003D723A"/>
    <w:rsid w:val="003E7B45"/>
    <w:rsid w:val="00411003"/>
    <w:rsid w:val="00412A84"/>
    <w:rsid w:val="004314CE"/>
    <w:rsid w:val="00442697"/>
    <w:rsid w:val="00444A94"/>
    <w:rsid w:val="00455A98"/>
    <w:rsid w:val="004616DD"/>
    <w:rsid w:val="00463203"/>
    <w:rsid w:val="00467041"/>
    <w:rsid w:val="00471458"/>
    <w:rsid w:val="00474A00"/>
    <w:rsid w:val="004A35EF"/>
    <w:rsid w:val="004A74B6"/>
    <w:rsid w:val="004C1B1E"/>
    <w:rsid w:val="004C7D83"/>
    <w:rsid w:val="004E6F6E"/>
    <w:rsid w:val="004F6A66"/>
    <w:rsid w:val="004F77E2"/>
    <w:rsid w:val="00503EBE"/>
    <w:rsid w:val="005170AB"/>
    <w:rsid w:val="00521E90"/>
    <w:rsid w:val="005224A4"/>
    <w:rsid w:val="00530077"/>
    <w:rsid w:val="00537B2A"/>
    <w:rsid w:val="00542881"/>
    <w:rsid w:val="00567041"/>
    <w:rsid w:val="0056719A"/>
    <w:rsid w:val="005729A7"/>
    <w:rsid w:val="005773A9"/>
    <w:rsid w:val="005C3267"/>
    <w:rsid w:val="005C6FC0"/>
    <w:rsid w:val="005F0239"/>
    <w:rsid w:val="005F2887"/>
    <w:rsid w:val="0060023A"/>
    <w:rsid w:val="006053EA"/>
    <w:rsid w:val="006171D7"/>
    <w:rsid w:val="006171DF"/>
    <w:rsid w:val="00627FE9"/>
    <w:rsid w:val="00633333"/>
    <w:rsid w:val="00641351"/>
    <w:rsid w:val="00642B17"/>
    <w:rsid w:val="00642DC3"/>
    <w:rsid w:val="006457CB"/>
    <w:rsid w:val="00651182"/>
    <w:rsid w:val="0067022D"/>
    <w:rsid w:val="00675F57"/>
    <w:rsid w:val="00683C3C"/>
    <w:rsid w:val="00683EB9"/>
    <w:rsid w:val="00691FB2"/>
    <w:rsid w:val="0069620B"/>
    <w:rsid w:val="006A0778"/>
    <w:rsid w:val="006A1893"/>
    <w:rsid w:val="006A7CCA"/>
    <w:rsid w:val="006B1C61"/>
    <w:rsid w:val="006B4ED5"/>
    <w:rsid w:val="006C00D3"/>
    <w:rsid w:val="006C7886"/>
    <w:rsid w:val="006D302C"/>
    <w:rsid w:val="006D3267"/>
    <w:rsid w:val="006D7098"/>
    <w:rsid w:val="006E4A7A"/>
    <w:rsid w:val="006E6637"/>
    <w:rsid w:val="006F3793"/>
    <w:rsid w:val="007037FC"/>
    <w:rsid w:val="00713112"/>
    <w:rsid w:val="00717344"/>
    <w:rsid w:val="0072347A"/>
    <w:rsid w:val="00727093"/>
    <w:rsid w:val="00743382"/>
    <w:rsid w:val="0074630C"/>
    <w:rsid w:val="00750E77"/>
    <w:rsid w:val="007570B8"/>
    <w:rsid w:val="00773BFD"/>
    <w:rsid w:val="00790F36"/>
    <w:rsid w:val="007A27D0"/>
    <w:rsid w:val="007A2B17"/>
    <w:rsid w:val="007B56EB"/>
    <w:rsid w:val="007C1729"/>
    <w:rsid w:val="007C5896"/>
    <w:rsid w:val="007C6C54"/>
    <w:rsid w:val="007D1847"/>
    <w:rsid w:val="007D6B69"/>
    <w:rsid w:val="007E186A"/>
    <w:rsid w:val="007E1EEA"/>
    <w:rsid w:val="007E441A"/>
    <w:rsid w:val="007F1D48"/>
    <w:rsid w:val="007F3C0B"/>
    <w:rsid w:val="007F46F2"/>
    <w:rsid w:val="00802698"/>
    <w:rsid w:val="00816D8D"/>
    <w:rsid w:val="00830FF3"/>
    <w:rsid w:val="00836532"/>
    <w:rsid w:val="00837596"/>
    <w:rsid w:val="00844886"/>
    <w:rsid w:val="00861CE8"/>
    <w:rsid w:val="00862788"/>
    <w:rsid w:val="008669A9"/>
    <w:rsid w:val="0087619B"/>
    <w:rsid w:val="00876E07"/>
    <w:rsid w:val="00880DF9"/>
    <w:rsid w:val="00893CA6"/>
    <w:rsid w:val="008A747D"/>
    <w:rsid w:val="008B52E9"/>
    <w:rsid w:val="008C7002"/>
    <w:rsid w:val="009019EC"/>
    <w:rsid w:val="009622EA"/>
    <w:rsid w:val="0096293A"/>
    <w:rsid w:val="00977CFE"/>
    <w:rsid w:val="009853AE"/>
    <w:rsid w:val="0099285B"/>
    <w:rsid w:val="009A5792"/>
    <w:rsid w:val="009D0128"/>
    <w:rsid w:val="009D2773"/>
    <w:rsid w:val="009D717B"/>
    <w:rsid w:val="009D76FE"/>
    <w:rsid w:val="009F1F0D"/>
    <w:rsid w:val="00A0790B"/>
    <w:rsid w:val="00A1505A"/>
    <w:rsid w:val="00A242D1"/>
    <w:rsid w:val="00A30443"/>
    <w:rsid w:val="00A307FD"/>
    <w:rsid w:val="00A30874"/>
    <w:rsid w:val="00A51186"/>
    <w:rsid w:val="00A527EB"/>
    <w:rsid w:val="00A544A5"/>
    <w:rsid w:val="00A61F5C"/>
    <w:rsid w:val="00A70C2D"/>
    <w:rsid w:val="00A71584"/>
    <w:rsid w:val="00A95DDF"/>
    <w:rsid w:val="00AD2F1A"/>
    <w:rsid w:val="00AD78E2"/>
    <w:rsid w:val="00AE1ED0"/>
    <w:rsid w:val="00AE3794"/>
    <w:rsid w:val="00B15E9F"/>
    <w:rsid w:val="00B33310"/>
    <w:rsid w:val="00B44B02"/>
    <w:rsid w:val="00B50DAB"/>
    <w:rsid w:val="00B53F54"/>
    <w:rsid w:val="00B64CC1"/>
    <w:rsid w:val="00B85F2A"/>
    <w:rsid w:val="00B903B8"/>
    <w:rsid w:val="00B953CA"/>
    <w:rsid w:val="00BB1806"/>
    <w:rsid w:val="00BB27F3"/>
    <w:rsid w:val="00BB46A4"/>
    <w:rsid w:val="00BC7AE9"/>
    <w:rsid w:val="00BD12AB"/>
    <w:rsid w:val="00BD309D"/>
    <w:rsid w:val="00BE5F16"/>
    <w:rsid w:val="00BF17C7"/>
    <w:rsid w:val="00C163A8"/>
    <w:rsid w:val="00C1708A"/>
    <w:rsid w:val="00C1738F"/>
    <w:rsid w:val="00C47C1C"/>
    <w:rsid w:val="00C70987"/>
    <w:rsid w:val="00CB0024"/>
    <w:rsid w:val="00CC0B37"/>
    <w:rsid w:val="00CE2E35"/>
    <w:rsid w:val="00CE4C28"/>
    <w:rsid w:val="00CF10AF"/>
    <w:rsid w:val="00D10CC5"/>
    <w:rsid w:val="00D1183F"/>
    <w:rsid w:val="00D208EB"/>
    <w:rsid w:val="00D25823"/>
    <w:rsid w:val="00D3073C"/>
    <w:rsid w:val="00D4121B"/>
    <w:rsid w:val="00D44C4D"/>
    <w:rsid w:val="00D47AA2"/>
    <w:rsid w:val="00D7174A"/>
    <w:rsid w:val="00D856AE"/>
    <w:rsid w:val="00DA1F65"/>
    <w:rsid w:val="00DA7A9E"/>
    <w:rsid w:val="00DB2A19"/>
    <w:rsid w:val="00DC3A7F"/>
    <w:rsid w:val="00DD212D"/>
    <w:rsid w:val="00DD5896"/>
    <w:rsid w:val="00DE4F73"/>
    <w:rsid w:val="00DF2D32"/>
    <w:rsid w:val="00DF397E"/>
    <w:rsid w:val="00E11C4B"/>
    <w:rsid w:val="00E32DA3"/>
    <w:rsid w:val="00E4248B"/>
    <w:rsid w:val="00E47350"/>
    <w:rsid w:val="00E53408"/>
    <w:rsid w:val="00E552C8"/>
    <w:rsid w:val="00E91019"/>
    <w:rsid w:val="00E93D83"/>
    <w:rsid w:val="00EB2D21"/>
    <w:rsid w:val="00EB4712"/>
    <w:rsid w:val="00EF08B6"/>
    <w:rsid w:val="00EF3850"/>
    <w:rsid w:val="00EF3DD9"/>
    <w:rsid w:val="00F0280D"/>
    <w:rsid w:val="00F17675"/>
    <w:rsid w:val="00F217A8"/>
    <w:rsid w:val="00F268D1"/>
    <w:rsid w:val="00F36241"/>
    <w:rsid w:val="00F55E05"/>
    <w:rsid w:val="00F63F3B"/>
    <w:rsid w:val="00F67EA1"/>
    <w:rsid w:val="00F74ABB"/>
    <w:rsid w:val="00F83833"/>
    <w:rsid w:val="00F85215"/>
    <w:rsid w:val="00F978A5"/>
    <w:rsid w:val="00FA1891"/>
    <w:rsid w:val="00FC0499"/>
    <w:rsid w:val="00FC5C27"/>
    <w:rsid w:val="00FC71D5"/>
    <w:rsid w:val="00FC7CD6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BFF3"/>
  <w15:docId w15:val="{49500FC8-0D72-4273-89C7-37E77BAE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47D"/>
    <w:rPr>
      <w:rFonts w:eastAsiaTheme="minorEastAsia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8A747D"/>
    <w:pPr>
      <w:keepNext/>
      <w:spacing w:before="240" w:after="60" w:line="240" w:lineRule="auto"/>
      <w:jc w:val="both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8A747D"/>
    <w:rPr>
      <w:rFonts w:ascii="Cambria" w:eastAsia="SimSun" w:hAnsi="Cambria" w:cs="Times New Roman"/>
      <w:b/>
      <w:bCs/>
      <w:sz w:val="26"/>
      <w:szCs w:val="26"/>
      <w:lang w:eastAsia="da-DK"/>
    </w:rPr>
  </w:style>
  <w:style w:type="paragraph" w:styleId="Listeafsnit">
    <w:name w:val="List Paragraph"/>
    <w:basedOn w:val="Normal"/>
    <w:uiPriority w:val="34"/>
    <w:qFormat/>
    <w:rsid w:val="008A747D"/>
    <w:pPr>
      <w:ind w:left="720"/>
      <w:contextualSpacing/>
    </w:pPr>
  </w:style>
  <w:style w:type="paragraph" w:customStyle="1" w:styleId="Default">
    <w:name w:val="Default"/>
    <w:rsid w:val="00BE5F1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349A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349A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349A1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49A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49A1"/>
    <w:rPr>
      <w:rFonts w:eastAsiaTheme="minorEastAsia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9A1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han\AppData\Local\Microsoft\Windows\Temporary%20Internet%20Files\Content.IE5\4GO0YY45\Tool%20Contents%20of%20Country%20Programme%20Documen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Tool Contents of Country Programme Document</Template>
  <TotalTime>1</TotalTime>
  <Pages>3</Pages>
  <Words>602</Words>
  <Characters>3676</Characters>
  <Application>Microsoft Office Word</Application>
  <DocSecurity>4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René Taus Hansen</dc:creator>
  <cp:lastModifiedBy>Frank Rothaus Jensen</cp:lastModifiedBy>
  <cp:revision>2</cp:revision>
  <cp:lastPrinted>2017-03-08T16:38:00Z</cp:lastPrinted>
  <dcterms:created xsi:type="dcterms:W3CDTF">2018-01-18T15:27:00Z</dcterms:created>
  <dcterms:modified xsi:type="dcterms:W3CDTF">2018-01-18T15:27:00Z</dcterms:modified>
</cp:coreProperties>
</file>