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840"/>
      </w:tblGrid>
      <w:tr w:rsidR="00793C54" w:rsidRPr="009C49C2" w14:paraId="27E882AE" w14:textId="77777777" w:rsidTr="003B0C46">
        <w:trPr>
          <w:trHeight w:val="1134"/>
        </w:trPr>
        <w:tc>
          <w:tcPr>
            <w:tcW w:w="9833" w:type="dxa"/>
            <w:hideMark/>
          </w:tcPr>
          <w:tbl>
            <w:tblPr>
              <w:tblStyle w:val="TableGrid"/>
              <w:tblW w:w="0" w:type="auto"/>
              <w:tblLayout w:type="fixed"/>
              <w:tblCellMar>
                <w:left w:w="0" w:type="dxa"/>
                <w:right w:w="0" w:type="dxa"/>
              </w:tblCellMar>
              <w:tblLook w:val="04A0" w:firstRow="1" w:lastRow="0" w:firstColumn="1" w:lastColumn="0" w:noHBand="0" w:noVBand="1"/>
            </w:tblPr>
            <w:tblGrid>
              <w:gridCol w:w="5438"/>
            </w:tblGrid>
            <w:tr w:rsidR="00793C54" w:rsidRPr="009C49C2" w14:paraId="63036E6E" w14:textId="77777777" w:rsidTr="003B0C46">
              <w:trPr>
                <w:trHeight w:val="1134"/>
              </w:trPr>
              <w:tc>
                <w:tcPr>
                  <w:tcW w:w="5438" w:type="dxa"/>
                  <w:tcBorders>
                    <w:top w:val="nil"/>
                    <w:left w:val="nil"/>
                    <w:bottom w:val="nil"/>
                    <w:right w:val="nil"/>
                  </w:tcBorders>
                  <w:hideMark/>
                </w:tcPr>
                <w:p w14:paraId="220633F1" w14:textId="77777777" w:rsidR="00793C54" w:rsidRPr="000F6AFC" w:rsidRDefault="00793C54" w:rsidP="003B0C46">
                  <w:pPr>
                    <w:pStyle w:val="Billedfelt"/>
                    <w:rPr>
                      <w:lang w:val="en-GB" w:eastAsia="en-GB"/>
                    </w:rPr>
                  </w:pPr>
                  <w:r w:rsidRPr="000F6AFC">
                    <w:rPr>
                      <w:noProof/>
                      <w:lang w:val="en-GB"/>
                    </w:rPr>
                    <w:drawing>
                      <wp:anchor distT="0" distB="0" distL="114300" distR="114300" simplePos="0" relativeHeight="251659264" behindDoc="0" locked="0" layoutInCell="1" allowOverlap="1" wp14:anchorId="4F2F86FD" wp14:editId="6D5A6E60">
                        <wp:simplePos x="0" y="0"/>
                        <wp:positionH relativeFrom="page">
                          <wp:posOffset>0</wp:posOffset>
                        </wp:positionH>
                        <wp:positionV relativeFrom="page">
                          <wp:posOffset>8255</wp:posOffset>
                        </wp:positionV>
                        <wp:extent cx="2563495" cy="61214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5B04F8D" w14:textId="77777777" w:rsidR="00793C54" w:rsidRPr="000F6AFC" w:rsidRDefault="00793C54" w:rsidP="003B0C46">
            <w:pPr>
              <w:pStyle w:val="Udarbejdet"/>
              <w:rPr>
                <w:lang w:val="en-GB" w:eastAsia="en-GB"/>
              </w:rPr>
            </w:pPr>
          </w:p>
        </w:tc>
      </w:tr>
      <w:tr w:rsidR="00793C54" w:rsidRPr="009C49C2" w14:paraId="38B588BE" w14:textId="77777777" w:rsidTr="003B0C46">
        <w:trPr>
          <w:trHeight w:val="322"/>
        </w:trPr>
        <w:tc>
          <w:tcPr>
            <w:tcW w:w="9833" w:type="dxa"/>
            <w:tcBorders>
              <w:top w:val="nil"/>
              <w:left w:val="nil"/>
              <w:bottom w:val="single" w:sz="4" w:space="0" w:color="E52020"/>
              <w:right w:val="nil"/>
            </w:tcBorders>
            <w:hideMark/>
          </w:tcPr>
          <w:p w14:paraId="1DEA185E" w14:textId="717A8A27" w:rsidR="00793C54" w:rsidRPr="000F6AFC" w:rsidRDefault="00793C54" w:rsidP="003B0C46">
            <w:pPr>
              <w:pStyle w:val="Forsidedato"/>
              <w:rPr>
                <w:color w:val="E52020"/>
                <w:lang w:val="en-GB" w:eastAsia="en-GB"/>
              </w:rPr>
            </w:pPr>
            <w:r w:rsidRPr="000F6AFC">
              <w:rPr>
                <w:color w:val="E52020"/>
                <w:lang w:val="en-GB" w:eastAsia="en-GB"/>
              </w:rPr>
              <w:t>Template 09 -</w:t>
            </w:r>
            <w:r w:rsidR="00663D3E" w:rsidRPr="000F6AFC">
              <w:rPr>
                <w:color w:val="E52020"/>
                <w:lang w:val="en-GB" w:eastAsia="en-GB"/>
              </w:rPr>
              <w:t xml:space="preserve"> </w:t>
            </w:r>
            <w:r w:rsidR="00B843F4" w:rsidRPr="000F6AFC">
              <w:rPr>
                <w:color w:val="E52020"/>
                <w:lang w:val="en-GB" w:eastAsia="en-GB"/>
              </w:rPr>
              <w:t>[DD/MM/YYYY]</w:t>
            </w:r>
          </w:p>
        </w:tc>
      </w:tr>
      <w:tr w:rsidR="00793C54" w:rsidRPr="009C49C2" w14:paraId="1F8BBF1D" w14:textId="77777777" w:rsidTr="003B0C46">
        <w:trPr>
          <w:trHeight w:val="686"/>
        </w:trPr>
        <w:tc>
          <w:tcPr>
            <w:tcW w:w="9833" w:type="dxa"/>
            <w:tcBorders>
              <w:top w:val="single" w:sz="4" w:space="0" w:color="E52020"/>
              <w:left w:val="nil"/>
              <w:bottom w:val="nil"/>
              <w:right w:val="nil"/>
            </w:tcBorders>
            <w:tcMar>
              <w:top w:w="284" w:type="dxa"/>
              <w:left w:w="0" w:type="dxa"/>
              <w:bottom w:w="0" w:type="dxa"/>
              <w:right w:w="0" w:type="dxa"/>
            </w:tcMar>
          </w:tcPr>
          <w:p w14:paraId="274BBC83" w14:textId="35D9F993" w:rsidR="00793C54" w:rsidRPr="009C49C2" w:rsidRDefault="00793C54" w:rsidP="003B0C46">
            <w:pPr>
              <w:jc w:val="center"/>
              <w:rPr>
                <w:rFonts w:ascii="Garamond" w:hAnsi="Garamond"/>
                <w:b/>
                <w:sz w:val="40"/>
                <w:szCs w:val="40"/>
                <w:lang w:val="en-GB" w:eastAsia="en-GB"/>
              </w:rPr>
            </w:pPr>
            <w:r w:rsidRPr="009C49C2">
              <w:rPr>
                <w:rFonts w:ascii="Diplomacy Office Bold" w:hAnsi="Diplomacy Office Bold" w:cs="Segoe UI"/>
                <w:caps/>
                <w:color w:val="9B0D2B"/>
                <w:sz w:val="48"/>
                <w:szCs w:val="48"/>
                <w:bdr w:val="none" w:sz="0" w:space="0" w:color="auto" w:frame="1"/>
                <w:lang w:val="en-GB" w:eastAsia="en-GB"/>
              </w:rPr>
              <w:t>Risk management</w:t>
            </w:r>
          </w:p>
        </w:tc>
      </w:tr>
    </w:tbl>
    <w:p w14:paraId="477FAB22" w14:textId="77777777" w:rsidR="00793C54" w:rsidRPr="009C49C2" w:rsidRDefault="00793C54" w:rsidP="00851D47">
      <w:pPr>
        <w:spacing w:after="0" w:line="240" w:lineRule="auto"/>
        <w:jc w:val="both"/>
        <w:rPr>
          <w:rFonts w:ascii="Noto Sans" w:hAnsi="Noto Sans" w:cs="Noto Sans"/>
          <w:sz w:val="24"/>
          <w:szCs w:val="24"/>
          <w:lang w:val="en-GB"/>
        </w:rPr>
      </w:pPr>
    </w:p>
    <w:p w14:paraId="65714A48" w14:textId="76E79E98" w:rsidR="00851D47" w:rsidRPr="009C49C2" w:rsidRDefault="00851D47" w:rsidP="00851D47">
      <w:pPr>
        <w:spacing w:after="0"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Risk management is an integrated part of the </w:t>
      </w:r>
      <w:r w:rsidR="008D475E">
        <w:rPr>
          <w:rFonts w:ascii="Noto Sans" w:hAnsi="Noto Sans" w:cs="Noto Sans"/>
          <w:sz w:val="24"/>
          <w:szCs w:val="24"/>
          <w:lang w:val="en-GB"/>
        </w:rPr>
        <w:t xml:space="preserve">framework </w:t>
      </w:r>
      <w:r w:rsidRPr="009C49C2">
        <w:rPr>
          <w:rFonts w:ascii="Noto Sans" w:hAnsi="Noto Sans" w:cs="Noto Sans"/>
          <w:sz w:val="24"/>
          <w:szCs w:val="24"/>
          <w:lang w:val="en-GB"/>
        </w:rPr>
        <w:t>programme</w:t>
      </w:r>
      <w:r w:rsidR="008D475E">
        <w:rPr>
          <w:rFonts w:ascii="Noto Sans" w:hAnsi="Noto Sans" w:cs="Noto Sans"/>
          <w:sz w:val="24"/>
          <w:szCs w:val="24"/>
          <w:lang w:val="en-GB"/>
        </w:rPr>
        <w:t xml:space="preserve"> (FP)</w:t>
      </w:r>
      <w:r w:rsidRPr="009C49C2">
        <w:rPr>
          <w:rFonts w:ascii="Noto Sans" w:hAnsi="Noto Sans" w:cs="Noto Sans"/>
          <w:sz w:val="24"/>
          <w:szCs w:val="24"/>
          <w:lang w:val="en-GB"/>
        </w:rPr>
        <w:t>/</w:t>
      </w:r>
      <w:r w:rsidR="008D475E">
        <w:rPr>
          <w:rFonts w:ascii="Noto Sans" w:hAnsi="Noto Sans" w:cs="Noto Sans"/>
          <w:sz w:val="24"/>
          <w:szCs w:val="24"/>
          <w:lang w:val="en-GB"/>
        </w:rPr>
        <w:t xml:space="preserve">SSC </w:t>
      </w:r>
      <w:r w:rsidRPr="009C49C2">
        <w:rPr>
          <w:rFonts w:ascii="Noto Sans" w:hAnsi="Noto Sans" w:cs="Noto Sans"/>
          <w:sz w:val="24"/>
          <w:szCs w:val="24"/>
          <w:lang w:val="en-GB"/>
        </w:rPr>
        <w:t xml:space="preserve">project cycle and closely linked to adaptive management. The </w:t>
      </w:r>
      <w:r w:rsidR="00B843F4" w:rsidRPr="009C49C2">
        <w:rPr>
          <w:rFonts w:ascii="Noto Sans" w:hAnsi="Noto Sans" w:cs="Noto Sans"/>
          <w:sz w:val="24"/>
          <w:szCs w:val="24"/>
          <w:lang w:val="en-GB"/>
        </w:rPr>
        <w:t>riskier</w:t>
      </w:r>
      <w:r w:rsidRPr="009C49C2">
        <w:rPr>
          <w:rFonts w:ascii="Noto Sans" w:hAnsi="Noto Sans" w:cs="Noto Sans"/>
          <w:sz w:val="24"/>
          <w:szCs w:val="24"/>
          <w:lang w:val="en-GB"/>
        </w:rPr>
        <w:t xml:space="preserve"> the context is</w:t>
      </w:r>
      <w:r w:rsidR="00B843F4" w:rsidRPr="009C49C2">
        <w:rPr>
          <w:rFonts w:ascii="Noto Sans" w:hAnsi="Noto Sans" w:cs="Noto Sans"/>
          <w:sz w:val="24"/>
          <w:szCs w:val="24"/>
          <w:lang w:val="en-GB"/>
        </w:rPr>
        <w:t>,</w:t>
      </w:r>
      <w:r w:rsidRPr="009C49C2">
        <w:rPr>
          <w:rFonts w:ascii="Noto Sans" w:hAnsi="Noto Sans" w:cs="Noto Sans"/>
          <w:sz w:val="24"/>
          <w:szCs w:val="24"/>
          <w:lang w:val="en-GB"/>
        </w:rPr>
        <w:t xml:space="preserve"> the more there is</w:t>
      </w:r>
      <w:r w:rsidR="00B843F4" w:rsidRPr="009C49C2">
        <w:rPr>
          <w:rFonts w:ascii="Noto Sans" w:hAnsi="Noto Sans" w:cs="Noto Sans"/>
          <w:sz w:val="24"/>
          <w:szCs w:val="24"/>
          <w:lang w:val="en-GB"/>
        </w:rPr>
        <w:t xml:space="preserve"> a</w:t>
      </w:r>
      <w:r w:rsidRPr="009C49C2">
        <w:rPr>
          <w:rFonts w:ascii="Noto Sans" w:hAnsi="Noto Sans" w:cs="Noto Sans"/>
          <w:sz w:val="24"/>
          <w:szCs w:val="24"/>
          <w:lang w:val="en-GB"/>
        </w:rPr>
        <w:t xml:space="preserve"> need for adaptive management.</w:t>
      </w:r>
    </w:p>
    <w:p w14:paraId="463BA637" w14:textId="77777777" w:rsidR="00851D47" w:rsidRPr="009C49C2" w:rsidRDefault="00851D47" w:rsidP="00851D47">
      <w:pPr>
        <w:spacing w:after="0"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 </w:t>
      </w:r>
    </w:p>
    <w:p w14:paraId="7B0C83E7" w14:textId="1C8C173B" w:rsidR="00837877" w:rsidRPr="009C49C2" w:rsidRDefault="00851D47" w:rsidP="00837877">
      <w:pPr>
        <w:spacing w:after="0" w:line="240" w:lineRule="auto"/>
        <w:jc w:val="both"/>
        <w:rPr>
          <w:rFonts w:ascii="Noto Sans" w:hAnsi="Noto Sans" w:cs="Noto Sans"/>
          <w:sz w:val="24"/>
          <w:szCs w:val="24"/>
          <w:lang w:val="en-GB"/>
        </w:rPr>
      </w:pPr>
      <w:r w:rsidRPr="009C49C2">
        <w:rPr>
          <w:rFonts w:ascii="Noto Sans" w:hAnsi="Noto Sans" w:cs="Noto Sans"/>
          <w:sz w:val="24"/>
          <w:szCs w:val="24"/>
          <w:lang w:val="en-GB"/>
        </w:rPr>
        <w:t>It is important to be explicit about the risk management approach, and the monitoring and learning activities underpinning risk management.</w:t>
      </w:r>
      <w:r w:rsidR="00B843F4" w:rsidRPr="009C49C2">
        <w:rPr>
          <w:rFonts w:ascii="Noto Sans" w:hAnsi="Noto Sans" w:cs="Noto Sans"/>
          <w:sz w:val="24"/>
          <w:szCs w:val="24"/>
          <w:lang w:val="en-GB"/>
        </w:rPr>
        <w:t xml:space="preserve"> </w:t>
      </w:r>
      <w:r w:rsidRPr="009C49C2">
        <w:rPr>
          <w:rFonts w:ascii="Noto Sans" w:hAnsi="Noto Sans" w:cs="Noto Sans"/>
          <w:sz w:val="24"/>
          <w:szCs w:val="24"/>
          <w:lang w:val="en-GB"/>
        </w:rPr>
        <w:t>Risk management is about taking calculated risks. It is not only about minimising risk, but also about balancing the risks against opportunities and potential results, or alternatively the negative consequences of not providing support.</w:t>
      </w:r>
    </w:p>
    <w:p w14:paraId="20B83654" w14:textId="77777777" w:rsidR="00837877" w:rsidRPr="009C49C2" w:rsidRDefault="00837877" w:rsidP="00837877">
      <w:pPr>
        <w:spacing w:after="0" w:line="240" w:lineRule="auto"/>
        <w:jc w:val="both"/>
        <w:rPr>
          <w:rFonts w:ascii="Noto Sans" w:hAnsi="Noto Sans" w:cs="Noto Sans"/>
          <w:sz w:val="24"/>
          <w:szCs w:val="24"/>
          <w:lang w:val="en-GB"/>
        </w:rPr>
      </w:pPr>
    </w:p>
    <w:p w14:paraId="14008BD5" w14:textId="7471C9C8" w:rsidR="00862798" w:rsidRDefault="00851D47" w:rsidP="00862798">
      <w:pPr>
        <w:spacing w:after="0"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A preliminary assessment of potential risks and risk responses must be conducted as an integrated part of the </w:t>
      </w:r>
      <w:r w:rsidR="000839BA">
        <w:rPr>
          <w:rFonts w:ascii="Noto Sans" w:hAnsi="Noto Sans" w:cs="Noto Sans"/>
          <w:sz w:val="24"/>
          <w:szCs w:val="24"/>
          <w:lang w:val="en-GB"/>
        </w:rPr>
        <w:t>FP</w:t>
      </w:r>
      <w:r w:rsidRPr="009C49C2">
        <w:rPr>
          <w:rFonts w:ascii="Noto Sans" w:hAnsi="Noto Sans" w:cs="Noto Sans"/>
          <w:sz w:val="24"/>
          <w:szCs w:val="24"/>
          <w:lang w:val="en-GB"/>
        </w:rPr>
        <w:t xml:space="preserve">/project development at the identification stage and be fully developed during the formulation stage. During the implementation, the risk assessments and responses are assessed by the responsible </w:t>
      </w:r>
      <w:r w:rsidR="0055206B" w:rsidRPr="009C49C2">
        <w:rPr>
          <w:rFonts w:ascii="Noto Sans" w:hAnsi="Noto Sans" w:cs="Noto Sans"/>
          <w:sz w:val="24"/>
          <w:szCs w:val="24"/>
          <w:lang w:val="en-GB"/>
        </w:rPr>
        <w:t>Danish public authority</w:t>
      </w:r>
      <w:r w:rsidRPr="009C49C2">
        <w:rPr>
          <w:rFonts w:ascii="Noto Sans" w:hAnsi="Noto Sans" w:cs="Noto Sans"/>
          <w:sz w:val="24"/>
          <w:szCs w:val="24"/>
          <w:lang w:val="en-GB"/>
        </w:rPr>
        <w:t xml:space="preserve">, ideally in collaboration with partners, at least once a year </w:t>
      </w:r>
      <w:r w:rsidR="0055206B" w:rsidRPr="009C49C2">
        <w:rPr>
          <w:rFonts w:ascii="Noto Sans" w:hAnsi="Noto Sans" w:cs="Noto Sans"/>
          <w:sz w:val="24"/>
          <w:szCs w:val="24"/>
          <w:lang w:val="en-GB"/>
        </w:rPr>
        <w:t xml:space="preserve">as part of the </w:t>
      </w:r>
      <w:r w:rsidRPr="009C49C2">
        <w:rPr>
          <w:rFonts w:ascii="Noto Sans" w:hAnsi="Noto Sans" w:cs="Noto Sans"/>
          <w:sz w:val="24"/>
          <w:szCs w:val="24"/>
          <w:lang w:val="en-GB"/>
        </w:rPr>
        <w:t xml:space="preserve">annual </w:t>
      </w:r>
      <w:r w:rsidR="008D475E">
        <w:rPr>
          <w:rFonts w:ascii="Noto Sans" w:hAnsi="Noto Sans" w:cs="Noto Sans"/>
          <w:sz w:val="24"/>
          <w:szCs w:val="24"/>
          <w:lang w:val="en-GB"/>
        </w:rPr>
        <w:t>SSC project</w:t>
      </w:r>
      <w:r w:rsidR="0055206B" w:rsidRPr="009C49C2">
        <w:rPr>
          <w:rFonts w:ascii="Noto Sans" w:hAnsi="Noto Sans" w:cs="Noto Sans"/>
          <w:sz w:val="24"/>
          <w:szCs w:val="24"/>
          <w:lang w:val="en-GB"/>
        </w:rPr>
        <w:t xml:space="preserve"> progress report (see Chapter 3.2.5)</w:t>
      </w:r>
      <w:r w:rsidR="008D475E">
        <w:rPr>
          <w:rFonts w:ascii="Noto Sans" w:hAnsi="Noto Sans" w:cs="Noto Sans"/>
          <w:sz w:val="24"/>
          <w:szCs w:val="24"/>
          <w:lang w:val="en-GB"/>
        </w:rPr>
        <w:t xml:space="preserve"> also feeding into FP annual reporting</w:t>
      </w:r>
      <w:r w:rsidRPr="009C49C2">
        <w:rPr>
          <w:rFonts w:ascii="Noto Sans" w:hAnsi="Noto Sans" w:cs="Noto Sans"/>
          <w:sz w:val="24"/>
          <w:szCs w:val="24"/>
          <w:lang w:val="en-GB"/>
        </w:rPr>
        <w:t xml:space="preserve">. </w:t>
      </w:r>
      <w:r w:rsidR="00862798">
        <w:rPr>
          <w:rFonts w:ascii="Noto Sans" w:hAnsi="Noto Sans" w:cs="Noto Sans"/>
          <w:sz w:val="24"/>
          <w:szCs w:val="24"/>
          <w:lang w:val="en-GB"/>
        </w:rPr>
        <w:t>A</w:t>
      </w:r>
      <w:r w:rsidRPr="009C49C2">
        <w:rPr>
          <w:rFonts w:ascii="Noto Sans" w:hAnsi="Noto Sans" w:cs="Noto Sans"/>
          <w:sz w:val="24"/>
          <w:szCs w:val="24"/>
          <w:lang w:val="en-GB"/>
        </w:rPr>
        <w:t xml:space="preserve"> risk management matrix is annexed to the </w:t>
      </w:r>
      <w:r w:rsidR="008D475E">
        <w:rPr>
          <w:rFonts w:ascii="Noto Sans" w:hAnsi="Noto Sans" w:cs="Noto Sans"/>
          <w:sz w:val="24"/>
          <w:szCs w:val="24"/>
          <w:lang w:val="en-GB"/>
        </w:rPr>
        <w:t xml:space="preserve">SSC </w:t>
      </w:r>
      <w:r w:rsidR="000839BA">
        <w:rPr>
          <w:rFonts w:ascii="Noto Sans" w:hAnsi="Noto Sans" w:cs="Noto Sans"/>
          <w:sz w:val="24"/>
          <w:szCs w:val="24"/>
          <w:lang w:val="en-GB"/>
        </w:rPr>
        <w:t xml:space="preserve">project </w:t>
      </w:r>
      <w:r w:rsidR="008D475E">
        <w:rPr>
          <w:rFonts w:ascii="Noto Sans" w:hAnsi="Noto Sans" w:cs="Noto Sans"/>
          <w:sz w:val="24"/>
          <w:szCs w:val="24"/>
          <w:lang w:val="en-GB"/>
        </w:rPr>
        <w:t>and FP</w:t>
      </w:r>
      <w:r w:rsidRPr="009C49C2">
        <w:rPr>
          <w:rFonts w:ascii="Noto Sans" w:hAnsi="Noto Sans" w:cs="Noto Sans"/>
          <w:sz w:val="24"/>
          <w:szCs w:val="24"/>
          <w:lang w:val="en-GB"/>
        </w:rPr>
        <w:t xml:space="preserve"> document. </w:t>
      </w:r>
    </w:p>
    <w:p w14:paraId="2561C8D9" w14:textId="3C74D903" w:rsidR="00851D47" w:rsidRPr="009C49C2" w:rsidRDefault="00851D47" w:rsidP="00B50BB3">
      <w:pPr>
        <w:spacing w:after="0" w:line="240" w:lineRule="auto"/>
        <w:jc w:val="both"/>
        <w:rPr>
          <w:rFonts w:ascii="Noto Sans" w:hAnsi="Noto Sans" w:cs="Noto Sans"/>
          <w:sz w:val="24"/>
          <w:szCs w:val="24"/>
          <w:lang w:val="en-GB"/>
        </w:rPr>
      </w:pPr>
    </w:p>
    <w:p w14:paraId="3362ED6C" w14:textId="41A979B8" w:rsidR="00851D47" w:rsidRPr="009C49C2" w:rsidRDefault="00851D47" w:rsidP="00851D47">
      <w:pPr>
        <w:autoSpaceDE w:val="0"/>
        <w:autoSpaceDN w:val="0"/>
        <w:adjustRightInd w:val="0"/>
        <w:spacing w:after="100" w:afterAutospacing="1" w:line="240" w:lineRule="auto"/>
        <w:jc w:val="both"/>
        <w:rPr>
          <w:rFonts w:ascii="Noto Sans" w:hAnsi="Noto Sans" w:cs="Noto Sans"/>
          <w:sz w:val="24"/>
          <w:szCs w:val="24"/>
          <w:lang w:val="en-GB"/>
        </w:rPr>
      </w:pPr>
      <w:r w:rsidRPr="009C49C2">
        <w:rPr>
          <w:rFonts w:ascii="Noto Sans" w:hAnsi="Noto Sans" w:cs="Noto Sans"/>
          <w:sz w:val="24"/>
          <w:szCs w:val="24"/>
          <w:lang w:val="en-GB"/>
        </w:rPr>
        <w:t>Three main categories of risks must be considered: (</w:t>
      </w:r>
      <w:proofErr w:type="spellStart"/>
      <w:r w:rsidRPr="009C49C2">
        <w:rPr>
          <w:rFonts w:ascii="Noto Sans" w:hAnsi="Noto Sans" w:cs="Noto Sans"/>
          <w:sz w:val="24"/>
          <w:szCs w:val="24"/>
          <w:lang w:val="en-GB"/>
        </w:rPr>
        <w:t>i</w:t>
      </w:r>
      <w:proofErr w:type="spellEnd"/>
      <w:r w:rsidRPr="009C49C2">
        <w:rPr>
          <w:rFonts w:ascii="Noto Sans" w:hAnsi="Noto Sans" w:cs="Noto Sans"/>
          <w:sz w:val="24"/>
          <w:szCs w:val="24"/>
          <w:lang w:val="en-GB"/>
        </w:rPr>
        <w:t xml:space="preserve">) Contextual risk concerning the general risk and fragility factors. Contextual risk </w:t>
      </w:r>
      <w:r w:rsidR="000839BA">
        <w:rPr>
          <w:rFonts w:ascii="Noto Sans" w:hAnsi="Noto Sans" w:cs="Noto Sans"/>
          <w:sz w:val="24"/>
          <w:szCs w:val="24"/>
          <w:lang w:val="en-GB"/>
        </w:rPr>
        <w:t>is</w:t>
      </w:r>
      <w:r w:rsidRPr="009C49C2">
        <w:rPr>
          <w:rFonts w:ascii="Noto Sans" w:hAnsi="Noto Sans" w:cs="Noto Sans"/>
          <w:sz w:val="24"/>
          <w:szCs w:val="24"/>
          <w:lang w:val="en-GB"/>
        </w:rPr>
        <w:t xml:space="preserve"> divided into political, economic, societal, environmental/climate and security risks</w:t>
      </w:r>
      <w:r w:rsidRPr="009C49C2">
        <w:rPr>
          <w:rFonts w:ascii="Noto Sans" w:eastAsia="SimSun" w:hAnsi="Noto Sans" w:cs="Noto Sans"/>
          <w:kern w:val="1"/>
          <w:sz w:val="24"/>
          <w:szCs w:val="24"/>
          <w:lang w:val="en-GB" w:eastAsia="hi-IN" w:bidi="hi-IN"/>
        </w:rPr>
        <w:t xml:space="preserve"> (</w:t>
      </w:r>
      <w:r w:rsidRPr="00B50BB3">
        <w:rPr>
          <w:rFonts w:ascii="Noto Sans" w:eastAsia="SimSun" w:hAnsi="Noto Sans" w:cs="Noto Sans"/>
          <w:iCs/>
          <w:kern w:val="1"/>
          <w:sz w:val="24"/>
          <w:szCs w:val="24"/>
          <w:lang w:val="en-GB" w:eastAsia="hi-IN" w:bidi="hi-IN"/>
        </w:rPr>
        <w:t>see further description of fragility risks in the</w:t>
      </w:r>
      <w:r w:rsidR="00B843F4" w:rsidRPr="00B50BB3">
        <w:rPr>
          <w:rFonts w:ascii="Noto Sans" w:eastAsia="SimSun" w:hAnsi="Noto Sans" w:cs="Noto Sans"/>
          <w:iCs/>
          <w:kern w:val="1"/>
          <w:sz w:val="24"/>
          <w:szCs w:val="24"/>
          <w:lang w:val="en-GB" w:eastAsia="hi-IN" w:bidi="hi-IN"/>
        </w:rPr>
        <w:t xml:space="preserve"> Fragility Risk and Resilience Analysis Tool</w:t>
      </w:r>
      <w:r w:rsidRPr="00B50BB3">
        <w:rPr>
          <w:rFonts w:ascii="Noto Sans" w:eastAsia="SimSun" w:hAnsi="Noto Sans" w:cs="Noto Sans"/>
          <w:iCs/>
          <w:kern w:val="1"/>
          <w:sz w:val="24"/>
          <w:szCs w:val="24"/>
          <w:lang w:val="en-GB" w:eastAsia="hi-IN" w:bidi="hi-IN"/>
        </w:rPr>
        <w:t xml:space="preserve"> </w:t>
      </w:r>
      <w:r w:rsidR="00B843F4" w:rsidRPr="00B50BB3">
        <w:rPr>
          <w:rFonts w:ascii="Noto Sans" w:eastAsia="SimSun" w:hAnsi="Noto Sans" w:cs="Noto Sans"/>
          <w:iCs/>
          <w:kern w:val="1"/>
          <w:sz w:val="24"/>
          <w:szCs w:val="24"/>
          <w:lang w:val="en-GB" w:eastAsia="hi-IN" w:bidi="hi-IN"/>
        </w:rPr>
        <w:t>(</w:t>
      </w:r>
      <w:r w:rsidRPr="00B50BB3">
        <w:rPr>
          <w:rFonts w:ascii="Noto Sans" w:eastAsia="SimSun" w:hAnsi="Noto Sans" w:cs="Noto Sans"/>
          <w:iCs/>
          <w:kern w:val="1"/>
          <w:sz w:val="24"/>
          <w:szCs w:val="24"/>
          <w:lang w:val="en-GB" w:eastAsia="hi-IN" w:bidi="hi-IN"/>
        </w:rPr>
        <w:t>FRRAT</w:t>
      </w:r>
      <w:r w:rsidR="00B843F4" w:rsidRPr="00B50BB3">
        <w:rPr>
          <w:rFonts w:ascii="Noto Sans" w:eastAsia="SimSun" w:hAnsi="Noto Sans" w:cs="Noto Sans"/>
          <w:iCs/>
          <w:kern w:val="1"/>
          <w:sz w:val="24"/>
          <w:szCs w:val="24"/>
          <w:lang w:val="en-GB" w:eastAsia="hi-IN" w:bidi="hi-IN"/>
        </w:rPr>
        <w:t>)</w:t>
      </w:r>
      <w:r w:rsidR="00B843F4" w:rsidRPr="00B50BB3">
        <w:rPr>
          <w:rStyle w:val="FootnoteReference"/>
          <w:rFonts w:ascii="Noto Sans" w:eastAsia="SimSun" w:hAnsi="Noto Sans" w:cs="Noto Sans"/>
          <w:iCs/>
          <w:kern w:val="1"/>
          <w:sz w:val="24"/>
          <w:szCs w:val="24"/>
          <w:lang w:val="en-GB" w:eastAsia="hi-IN" w:bidi="hi-IN"/>
        </w:rPr>
        <w:footnoteReference w:id="1"/>
      </w:r>
      <w:r w:rsidRPr="000F6AFC">
        <w:rPr>
          <w:rFonts w:ascii="Noto Sans" w:eastAsia="SimSun" w:hAnsi="Noto Sans" w:cs="Noto Sans"/>
          <w:iCs/>
          <w:kern w:val="1"/>
          <w:sz w:val="24"/>
          <w:szCs w:val="24"/>
          <w:lang w:val="en-GB" w:eastAsia="hi-IN" w:bidi="hi-IN"/>
        </w:rPr>
        <w:t>)</w:t>
      </w:r>
      <w:r w:rsidRPr="009C49C2">
        <w:rPr>
          <w:rFonts w:ascii="Noto Sans" w:eastAsia="SimSun" w:hAnsi="Noto Sans" w:cs="Noto Sans"/>
          <w:kern w:val="1"/>
          <w:sz w:val="24"/>
          <w:szCs w:val="24"/>
          <w:lang w:val="en-GB" w:eastAsia="hi-IN" w:bidi="hi-IN"/>
        </w:rPr>
        <w:t xml:space="preserve"> (ii) </w:t>
      </w:r>
      <w:r w:rsidRPr="009C49C2">
        <w:rPr>
          <w:rFonts w:ascii="Noto Sans" w:hAnsi="Noto Sans" w:cs="Noto Sans"/>
          <w:sz w:val="24"/>
          <w:szCs w:val="24"/>
          <w:lang w:val="en-GB"/>
        </w:rPr>
        <w:t xml:space="preserve">Programmatic risk concerning risk in regard to achievement of </w:t>
      </w:r>
      <w:r w:rsidR="008D475E">
        <w:rPr>
          <w:rFonts w:ascii="Noto Sans" w:hAnsi="Noto Sans" w:cs="Noto Sans"/>
          <w:sz w:val="24"/>
          <w:szCs w:val="24"/>
          <w:lang w:val="en-GB"/>
        </w:rPr>
        <w:t>the FP</w:t>
      </w:r>
      <w:r w:rsidR="0055206B" w:rsidRPr="009C49C2">
        <w:rPr>
          <w:rFonts w:ascii="Noto Sans" w:hAnsi="Noto Sans" w:cs="Noto Sans"/>
          <w:sz w:val="24"/>
          <w:szCs w:val="24"/>
          <w:lang w:val="en-GB"/>
        </w:rPr>
        <w:t>/</w:t>
      </w:r>
      <w:r w:rsidR="008D475E">
        <w:rPr>
          <w:rFonts w:ascii="Noto Sans" w:hAnsi="Noto Sans" w:cs="Noto Sans"/>
          <w:sz w:val="24"/>
          <w:szCs w:val="24"/>
          <w:lang w:val="en-GB"/>
        </w:rPr>
        <w:t xml:space="preserve">SSC </w:t>
      </w:r>
      <w:r w:rsidR="0055206B" w:rsidRPr="009C49C2">
        <w:rPr>
          <w:rFonts w:ascii="Noto Sans" w:hAnsi="Noto Sans" w:cs="Noto Sans"/>
          <w:sz w:val="24"/>
          <w:szCs w:val="24"/>
          <w:lang w:val="en-GB"/>
        </w:rPr>
        <w:t>project</w:t>
      </w:r>
      <w:r w:rsidRPr="009C49C2">
        <w:rPr>
          <w:rFonts w:ascii="Noto Sans" w:hAnsi="Noto Sans" w:cs="Noto Sans"/>
          <w:sz w:val="24"/>
          <w:szCs w:val="24"/>
          <w:lang w:val="en-GB"/>
        </w:rPr>
        <w:t xml:space="preserve"> objectives and (iii) institutional risks in relation to the interest</w:t>
      </w:r>
      <w:r w:rsidR="000839BA">
        <w:rPr>
          <w:rFonts w:ascii="Noto Sans" w:hAnsi="Noto Sans" w:cs="Noto Sans"/>
          <w:sz w:val="24"/>
          <w:szCs w:val="24"/>
          <w:lang w:val="en-GB"/>
        </w:rPr>
        <w:t>s</w:t>
      </w:r>
      <w:r w:rsidRPr="009C49C2">
        <w:rPr>
          <w:rFonts w:ascii="Noto Sans" w:hAnsi="Noto Sans" w:cs="Noto Sans"/>
          <w:sz w:val="24"/>
          <w:szCs w:val="24"/>
          <w:lang w:val="en-GB"/>
        </w:rPr>
        <w:t xml:space="preserve"> of Denmark and its partners. Contextual risks are the same for all </w:t>
      </w:r>
      <w:r w:rsidR="008D475E">
        <w:rPr>
          <w:rFonts w:ascii="Noto Sans" w:hAnsi="Noto Sans" w:cs="Noto Sans"/>
          <w:sz w:val="24"/>
          <w:szCs w:val="24"/>
          <w:lang w:val="en-GB"/>
        </w:rPr>
        <w:t xml:space="preserve">SSC </w:t>
      </w:r>
      <w:r w:rsidRPr="009C49C2">
        <w:rPr>
          <w:rFonts w:ascii="Noto Sans" w:hAnsi="Noto Sans" w:cs="Noto Sans"/>
          <w:sz w:val="24"/>
          <w:szCs w:val="24"/>
          <w:lang w:val="en-GB"/>
        </w:rPr>
        <w:t xml:space="preserve">projects within that particular context (global, regional and/or nation level). Programmatic and institutional risks are at project or </w:t>
      </w:r>
      <w:r w:rsidR="000839BA">
        <w:rPr>
          <w:rFonts w:ascii="Noto Sans" w:hAnsi="Noto Sans" w:cs="Noto Sans"/>
          <w:sz w:val="24"/>
          <w:szCs w:val="24"/>
          <w:lang w:val="en-GB"/>
        </w:rPr>
        <w:t>FP</w:t>
      </w:r>
      <w:r w:rsidR="000839BA" w:rsidRPr="009C49C2">
        <w:rPr>
          <w:rFonts w:ascii="Noto Sans" w:hAnsi="Noto Sans" w:cs="Noto Sans"/>
          <w:sz w:val="24"/>
          <w:szCs w:val="24"/>
          <w:lang w:val="en-GB"/>
        </w:rPr>
        <w:t xml:space="preserve"> </w:t>
      </w:r>
      <w:r w:rsidRPr="009C49C2">
        <w:rPr>
          <w:rFonts w:ascii="Noto Sans" w:hAnsi="Noto Sans" w:cs="Noto Sans"/>
          <w:sz w:val="24"/>
          <w:szCs w:val="24"/>
          <w:lang w:val="en-GB"/>
        </w:rPr>
        <w:t xml:space="preserve">level. </w:t>
      </w:r>
    </w:p>
    <w:p w14:paraId="302C4B58" w14:textId="4903A5C5" w:rsidR="00B843F4" w:rsidRPr="009C49C2" w:rsidRDefault="00851D47" w:rsidP="00B50BB3">
      <w:pPr>
        <w:autoSpaceDE w:val="0"/>
        <w:autoSpaceDN w:val="0"/>
        <w:adjustRightInd w:val="0"/>
        <w:spacing w:after="100" w:afterAutospacing="1" w:line="240" w:lineRule="auto"/>
        <w:jc w:val="both"/>
        <w:rPr>
          <w:rFonts w:ascii="Noto Sans" w:hAnsi="Noto Sans" w:cs="Noto Sans"/>
          <w:sz w:val="24"/>
          <w:szCs w:val="24"/>
          <w:lang w:val="en-GB"/>
        </w:rPr>
      </w:pPr>
      <w:r w:rsidRPr="009C49C2">
        <w:rPr>
          <w:rFonts w:ascii="Noto Sans" w:hAnsi="Noto Sans" w:cs="Noto Sans"/>
          <w:sz w:val="24"/>
          <w:szCs w:val="24"/>
          <w:lang w:val="en-GB"/>
        </w:rPr>
        <w:t>The likelihood and impact of identified risks are assessed and risk response measures identified. The template below is filled out for context risks, programme risks and institutional risks.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701"/>
        <w:gridCol w:w="1276"/>
        <w:gridCol w:w="1559"/>
        <w:gridCol w:w="2126"/>
      </w:tblGrid>
      <w:tr w:rsidR="00851D47" w:rsidRPr="009C49C2" w14:paraId="45CDF4ED" w14:textId="77777777" w:rsidTr="00793C54">
        <w:tc>
          <w:tcPr>
            <w:tcW w:w="1413" w:type="dxa"/>
            <w:shd w:val="clear" w:color="auto" w:fill="97A595"/>
          </w:tcPr>
          <w:p w14:paraId="6CA128A0"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6"/>
                <w:szCs w:val="16"/>
                <w:lang w:val="en-GB"/>
              </w:rPr>
            </w:pPr>
            <w:r w:rsidRPr="009C49C2">
              <w:rPr>
                <w:rFonts w:ascii="Noto Sans" w:hAnsi="Noto Sans" w:cs="Noto Sans"/>
                <w:b/>
                <w:color w:val="000000"/>
                <w:sz w:val="16"/>
                <w:szCs w:val="16"/>
                <w:lang w:val="en-GB"/>
              </w:rPr>
              <w:t>Risk Factor</w:t>
            </w:r>
          </w:p>
        </w:tc>
        <w:tc>
          <w:tcPr>
            <w:tcW w:w="1559" w:type="dxa"/>
            <w:shd w:val="clear" w:color="auto" w:fill="97A595"/>
          </w:tcPr>
          <w:p w14:paraId="7DA071D7"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6"/>
                <w:szCs w:val="16"/>
                <w:lang w:val="en-GB"/>
              </w:rPr>
            </w:pPr>
            <w:r w:rsidRPr="009C49C2">
              <w:rPr>
                <w:rFonts w:ascii="Noto Sans" w:hAnsi="Noto Sans" w:cs="Noto Sans"/>
                <w:b/>
                <w:color w:val="000000"/>
                <w:sz w:val="16"/>
                <w:szCs w:val="16"/>
                <w:lang w:val="en-GB"/>
              </w:rPr>
              <w:t>Likelihood</w:t>
            </w:r>
          </w:p>
        </w:tc>
        <w:tc>
          <w:tcPr>
            <w:tcW w:w="1701" w:type="dxa"/>
            <w:shd w:val="clear" w:color="auto" w:fill="97A595"/>
          </w:tcPr>
          <w:p w14:paraId="0F3C3EB8"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6"/>
                <w:szCs w:val="16"/>
                <w:lang w:val="en-GB"/>
              </w:rPr>
            </w:pPr>
            <w:r w:rsidRPr="009C49C2">
              <w:rPr>
                <w:rFonts w:ascii="Noto Sans" w:hAnsi="Noto Sans" w:cs="Noto Sans"/>
                <w:b/>
                <w:color w:val="000000"/>
                <w:sz w:val="16"/>
                <w:szCs w:val="16"/>
                <w:lang w:val="en-GB"/>
              </w:rPr>
              <w:t>Impact</w:t>
            </w:r>
          </w:p>
        </w:tc>
        <w:tc>
          <w:tcPr>
            <w:tcW w:w="1276" w:type="dxa"/>
            <w:shd w:val="clear" w:color="auto" w:fill="97A595"/>
          </w:tcPr>
          <w:p w14:paraId="153EC4D4"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6"/>
                <w:szCs w:val="16"/>
                <w:lang w:val="en-GB"/>
              </w:rPr>
            </w:pPr>
            <w:r w:rsidRPr="009C49C2">
              <w:rPr>
                <w:rFonts w:ascii="Noto Sans" w:hAnsi="Noto Sans" w:cs="Noto Sans"/>
                <w:b/>
                <w:color w:val="000000"/>
                <w:sz w:val="16"/>
                <w:szCs w:val="16"/>
                <w:lang w:val="en-GB"/>
              </w:rPr>
              <w:t>Risk response</w:t>
            </w:r>
          </w:p>
        </w:tc>
        <w:tc>
          <w:tcPr>
            <w:tcW w:w="1559" w:type="dxa"/>
            <w:shd w:val="clear" w:color="auto" w:fill="97A595"/>
          </w:tcPr>
          <w:p w14:paraId="2411C465"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6"/>
                <w:szCs w:val="16"/>
                <w:lang w:val="en-GB"/>
              </w:rPr>
            </w:pPr>
            <w:r w:rsidRPr="009C49C2">
              <w:rPr>
                <w:rFonts w:ascii="Noto Sans" w:hAnsi="Noto Sans" w:cs="Noto Sans"/>
                <w:b/>
                <w:color w:val="000000"/>
                <w:sz w:val="16"/>
                <w:szCs w:val="16"/>
                <w:lang w:val="en-GB"/>
              </w:rPr>
              <w:t>Residual risk</w:t>
            </w:r>
          </w:p>
        </w:tc>
        <w:tc>
          <w:tcPr>
            <w:tcW w:w="2126" w:type="dxa"/>
            <w:shd w:val="clear" w:color="auto" w:fill="97A595"/>
          </w:tcPr>
          <w:p w14:paraId="58A82630"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6"/>
                <w:szCs w:val="16"/>
                <w:lang w:val="en-GB"/>
              </w:rPr>
            </w:pPr>
            <w:r w:rsidRPr="009C49C2">
              <w:rPr>
                <w:rFonts w:ascii="Noto Sans" w:hAnsi="Noto Sans" w:cs="Noto Sans"/>
                <w:b/>
                <w:color w:val="000000"/>
                <w:sz w:val="16"/>
                <w:szCs w:val="16"/>
                <w:lang w:val="en-GB"/>
              </w:rPr>
              <w:t>Background to assessment</w:t>
            </w:r>
          </w:p>
        </w:tc>
      </w:tr>
      <w:tr w:rsidR="00851D47" w:rsidRPr="00F762D7" w14:paraId="44DE0702" w14:textId="77777777" w:rsidTr="00371A69">
        <w:tc>
          <w:tcPr>
            <w:tcW w:w="1413" w:type="dxa"/>
          </w:tcPr>
          <w:p w14:paraId="0939FABF" w14:textId="2E534823" w:rsidR="00851D47" w:rsidRPr="009C49C2" w:rsidRDefault="00851D47" w:rsidP="00851D47">
            <w:p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The risk is formulated as a headline or in one or two sentences</w:t>
            </w:r>
            <w:r w:rsidR="00B843F4" w:rsidRPr="009C49C2">
              <w:rPr>
                <w:rFonts w:ascii="Noto Sans" w:hAnsi="Noto Sans" w:cs="Noto Sans"/>
                <w:color w:val="000000"/>
                <w:sz w:val="16"/>
                <w:szCs w:val="16"/>
                <w:lang w:val="en-GB"/>
              </w:rPr>
              <w:t>.</w:t>
            </w:r>
          </w:p>
        </w:tc>
        <w:tc>
          <w:tcPr>
            <w:tcW w:w="1559" w:type="dxa"/>
          </w:tcPr>
          <w:p w14:paraId="10553247" w14:textId="77777777" w:rsidR="00851D47" w:rsidRPr="009C49C2" w:rsidRDefault="00851D47" w:rsidP="00851D47">
            <w:pPr>
              <w:numPr>
                <w:ilvl w:val="0"/>
                <w:numId w:val="1"/>
              </w:num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Very unlikely</w:t>
            </w:r>
          </w:p>
          <w:p w14:paraId="2F768CCF" w14:textId="77777777" w:rsidR="00851D47" w:rsidRPr="009C49C2" w:rsidRDefault="00851D47" w:rsidP="00851D47">
            <w:pPr>
              <w:numPr>
                <w:ilvl w:val="0"/>
                <w:numId w:val="1"/>
              </w:num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Unlikely</w:t>
            </w:r>
          </w:p>
          <w:p w14:paraId="7204B1D2" w14:textId="77777777" w:rsidR="00851D47" w:rsidRPr="009C49C2" w:rsidRDefault="00851D47" w:rsidP="00851D47">
            <w:pPr>
              <w:numPr>
                <w:ilvl w:val="0"/>
                <w:numId w:val="1"/>
              </w:num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Likely</w:t>
            </w:r>
          </w:p>
          <w:p w14:paraId="3926B036" w14:textId="77777777" w:rsidR="00851D47" w:rsidRPr="009C49C2" w:rsidRDefault="00851D47" w:rsidP="00851D47">
            <w:pPr>
              <w:numPr>
                <w:ilvl w:val="0"/>
                <w:numId w:val="1"/>
              </w:num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Almost certain</w:t>
            </w:r>
          </w:p>
        </w:tc>
        <w:tc>
          <w:tcPr>
            <w:tcW w:w="1701" w:type="dxa"/>
          </w:tcPr>
          <w:p w14:paraId="1C42E940" w14:textId="77777777" w:rsidR="00851D47" w:rsidRPr="009C49C2" w:rsidRDefault="00851D47" w:rsidP="00851D47">
            <w:pPr>
              <w:numPr>
                <w:ilvl w:val="0"/>
                <w:numId w:val="1"/>
              </w:numPr>
              <w:autoSpaceDE w:val="0"/>
              <w:autoSpaceDN w:val="0"/>
              <w:adjustRightInd w:val="0"/>
              <w:spacing w:after="0" w:line="240" w:lineRule="auto"/>
              <w:contextualSpacing/>
              <w:rPr>
                <w:rFonts w:ascii="Noto Sans" w:hAnsi="Noto Sans" w:cs="Noto Sans"/>
                <w:color w:val="000000"/>
                <w:sz w:val="16"/>
                <w:szCs w:val="16"/>
                <w:lang w:val="en-GB"/>
              </w:rPr>
            </w:pPr>
            <w:r w:rsidRPr="009C49C2">
              <w:rPr>
                <w:rFonts w:ascii="Noto Sans" w:hAnsi="Noto Sans" w:cs="Noto Sans"/>
                <w:color w:val="000000"/>
                <w:sz w:val="16"/>
                <w:szCs w:val="16"/>
                <w:lang w:val="en-GB"/>
              </w:rPr>
              <w:t>Insignificant</w:t>
            </w:r>
          </w:p>
          <w:p w14:paraId="4DFB09BA" w14:textId="77777777" w:rsidR="00851D47" w:rsidRPr="009C49C2" w:rsidRDefault="00851D47" w:rsidP="00851D47">
            <w:pPr>
              <w:numPr>
                <w:ilvl w:val="0"/>
                <w:numId w:val="1"/>
              </w:num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Minor</w:t>
            </w:r>
          </w:p>
          <w:p w14:paraId="32B0F75E" w14:textId="77777777" w:rsidR="00851D47" w:rsidRPr="009C49C2" w:rsidRDefault="00851D47" w:rsidP="00851D47">
            <w:pPr>
              <w:numPr>
                <w:ilvl w:val="0"/>
                <w:numId w:val="1"/>
              </w:num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Major</w:t>
            </w:r>
          </w:p>
          <w:p w14:paraId="4A0E9FF9" w14:textId="77777777" w:rsidR="00851D47" w:rsidRPr="009C49C2" w:rsidRDefault="00851D47" w:rsidP="00851D47">
            <w:pPr>
              <w:numPr>
                <w:ilvl w:val="0"/>
                <w:numId w:val="1"/>
              </w:num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Significant</w:t>
            </w:r>
          </w:p>
        </w:tc>
        <w:tc>
          <w:tcPr>
            <w:tcW w:w="1276" w:type="dxa"/>
          </w:tcPr>
          <w:p w14:paraId="2E1BF098" w14:textId="4C032009" w:rsidR="00851D47" w:rsidRPr="009C49C2" w:rsidRDefault="00851D47" w:rsidP="00851D47">
            <w:p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The risk response is formulated as a headline or in one or two sentences</w:t>
            </w:r>
            <w:r w:rsidR="00B843F4" w:rsidRPr="009C49C2">
              <w:rPr>
                <w:rFonts w:ascii="Noto Sans" w:hAnsi="Noto Sans" w:cs="Noto Sans"/>
                <w:color w:val="000000"/>
                <w:sz w:val="16"/>
                <w:szCs w:val="16"/>
                <w:lang w:val="en-GB"/>
              </w:rPr>
              <w:t>.</w:t>
            </w:r>
          </w:p>
        </w:tc>
        <w:tc>
          <w:tcPr>
            <w:tcW w:w="1559" w:type="dxa"/>
          </w:tcPr>
          <w:p w14:paraId="00E9C898" w14:textId="77777777" w:rsidR="00851D47" w:rsidRPr="009C49C2" w:rsidRDefault="00851D47" w:rsidP="00851D47">
            <w:p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The risk that remains after the identified risk response.</w:t>
            </w:r>
          </w:p>
        </w:tc>
        <w:tc>
          <w:tcPr>
            <w:tcW w:w="2126" w:type="dxa"/>
          </w:tcPr>
          <w:p w14:paraId="23C12CBD" w14:textId="2EF0D163" w:rsidR="00851D47" w:rsidRPr="009C49C2" w:rsidRDefault="00851D47" w:rsidP="00851D47">
            <w:pPr>
              <w:autoSpaceDE w:val="0"/>
              <w:autoSpaceDN w:val="0"/>
              <w:adjustRightInd w:val="0"/>
              <w:spacing w:after="0" w:line="240" w:lineRule="auto"/>
              <w:rPr>
                <w:rFonts w:ascii="Noto Sans" w:hAnsi="Noto Sans" w:cs="Noto Sans"/>
                <w:color w:val="000000"/>
                <w:sz w:val="16"/>
                <w:szCs w:val="16"/>
                <w:lang w:val="en-GB"/>
              </w:rPr>
            </w:pPr>
            <w:r w:rsidRPr="009C49C2">
              <w:rPr>
                <w:rFonts w:ascii="Noto Sans" w:hAnsi="Noto Sans" w:cs="Noto Sans"/>
                <w:color w:val="000000"/>
                <w:sz w:val="16"/>
                <w:szCs w:val="16"/>
                <w:lang w:val="en-GB"/>
              </w:rPr>
              <w:t>Brief explanation which can emphasize the risk factor itself or any of the other elements in terms of rating and responding to the risk</w:t>
            </w:r>
            <w:r w:rsidR="00B843F4" w:rsidRPr="009C49C2">
              <w:rPr>
                <w:rFonts w:ascii="Noto Sans" w:hAnsi="Noto Sans" w:cs="Noto Sans"/>
                <w:color w:val="000000"/>
                <w:sz w:val="16"/>
                <w:szCs w:val="16"/>
                <w:lang w:val="en-GB"/>
              </w:rPr>
              <w:t>.</w:t>
            </w:r>
          </w:p>
        </w:tc>
      </w:tr>
    </w:tbl>
    <w:p w14:paraId="7F79FC22" w14:textId="77777777" w:rsidR="00793C54" w:rsidRPr="009C49C2" w:rsidRDefault="00793C54" w:rsidP="00851D47">
      <w:pPr>
        <w:spacing w:after="100" w:afterAutospacing="1" w:line="240" w:lineRule="auto"/>
        <w:jc w:val="both"/>
        <w:rPr>
          <w:rFonts w:ascii="Noto Sans" w:hAnsi="Noto Sans" w:cs="Noto Sans"/>
          <w:sz w:val="24"/>
          <w:szCs w:val="24"/>
          <w:lang w:val="en-GB"/>
        </w:rPr>
      </w:pPr>
    </w:p>
    <w:p w14:paraId="14BFAD7C" w14:textId="2BFB4F6F" w:rsidR="00851D47" w:rsidRPr="009C49C2" w:rsidRDefault="00851D47" w:rsidP="00851D47">
      <w:pPr>
        <w:spacing w:after="100" w:afterAutospacing="1"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Risk management should be seen as an iterative process where implementation of risk responses influences </w:t>
      </w:r>
      <w:r w:rsidR="000D214E">
        <w:rPr>
          <w:rFonts w:ascii="Noto Sans" w:hAnsi="Noto Sans" w:cs="Noto Sans"/>
          <w:sz w:val="24"/>
          <w:szCs w:val="24"/>
          <w:lang w:val="en-GB"/>
        </w:rPr>
        <w:t>SSC</w:t>
      </w:r>
      <w:r w:rsidR="000839BA">
        <w:rPr>
          <w:rFonts w:ascii="Noto Sans" w:hAnsi="Noto Sans" w:cs="Noto Sans"/>
          <w:sz w:val="24"/>
          <w:szCs w:val="24"/>
          <w:lang w:val="en-GB"/>
        </w:rPr>
        <w:t xml:space="preserve"> project</w:t>
      </w:r>
      <w:r w:rsidR="000D214E">
        <w:rPr>
          <w:rFonts w:ascii="Noto Sans" w:hAnsi="Noto Sans" w:cs="Noto Sans"/>
          <w:sz w:val="24"/>
          <w:szCs w:val="24"/>
          <w:lang w:val="en-GB"/>
        </w:rPr>
        <w:t>/FP</w:t>
      </w:r>
      <w:r w:rsidRPr="009C49C2">
        <w:rPr>
          <w:rFonts w:ascii="Noto Sans" w:hAnsi="Noto Sans" w:cs="Noto Sans"/>
          <w:sz w:val="24"/>
          <w:szCs w:val="24"/>
          <w:lang w:val="en-GB"/>
        </w:rPr>
        <w:t xml:space="preserve"> design and vice versa. Risk responses can lead to changes in scenarios and subsequent changes in partners, outputs, outcomes and modalities etc. Proposed risk responses should be briefly outlined in the risk management matrix during formulation and the residual risk be indicated. </w:t>
      </w:r>
    </w:p>
    <w:p w14:paraId="186F3070" w14:textId="63231922" w:rsidR="00851D47" w:rsidRPr="009C49C2" w:rsidRDefault="00851D47" w:rsidP="00793C54">
      <w:pPr>
        <w:spacing w:after="100" w:afterAutospacing="1"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The Risk Management Matrix should be reassessed and revised at least annually during the annual stock taking, but in some instances more frequently. Monitoring of risks during implementation is important in order to identify whether developments require adjustments to the </w:t>
      </w:r>
      <w:r w:rsidR="000839BA">
        <w:rPr>
          <w:rFonts w:ascii="Noto Sans" w:hAnsi="Noto Sans" w:cs="Noto Sans"/>
          <w:sz w:val="24"/>
          <w:szCs w:val="24"/>
          <w:lang w:val="en-GB"/>
        </w:rPr>
        <w:t>FP</w:t>
      </w:r>
      <w:r w:rsidR="0055206B" w:rsidRPr="009C49C2">
        <w:rPr>
          <w:rFonts w:ascii="Noto Sans" w:hAnsi="Noto Sans" w:cs="Noto Sans"/>
          <w:sz w:val="24"/>
          <w:szCs w:val="24"/>
          <w:lang w:val="en-GB"/>
        </w:rPr>
        <w:t>/</w:t>
      </w:r>
      <w:r w:rsidR="000839BA">
        <w:rPr>
          <w:rFonts w:ascii="Noto Sans" w:hAnsi="Noto Sans" w:cs="Noto Sans"/>
          <w:sz w:val="24"/>
          <w:szCs w:val="24"/>
          <w:lang w:val="en-GB"/>
        </w:rPr>
        <w:t xml:space="preserve">SSC </w:t>
      </w:r>
      <w:r w:rsidR="0055206B" w:rsidRPr="009C49C2">
        <w:rPr>
          <w:rFonts w:ascii="Noto Sans" w:hAnsi="Noto Sans" w:cs="Noto Sans"/>
          <w:sz w:val="24"/>
          <w:szCs w:val="24"/>
          <w:lang w:val="en-GB"/>
        </w:rPr>
        <w:t>project</w:t>
      </w:r>
      <w:r w:rsidRPr="009C49C2">
        <w:rPr>
          <w:rFonts w:ascii="Noto Sans" w:hAnsi="Noto Sans" w:cs="Noto Sans"/>
          <w:sz w:val="24"/>
          <w:szCs w:val="24"/>
          <w:lang w:val="en-GB"/>
        </w:rPr>
        <w:t>, including use of the scenario planning options. Developments in risks could require adjustments to the results framework or to generally revisit the theory of change to ensure the relevance of the intervention logic.</w:t>
      </w:r>
    </w:p>
    <w:p w14:paraId="58F6ECE7" w14:textId="77777777" w:rsidR="00770C2A" w:rsidRPr="009C49C2" w:rsidRDefault="00770C2A" w:rsidP="00793C54">
      <w:pPr>
        <w:spacing w:after="100" w:afterAutospacing="1" w:line="240" w:lineRule="auto"/>
        <w:jc w:val="both"/>
        <w:rPr>
          <w:rFonts w:ascii="Noto Sans" w:hAnsi="Noto Sans" w:cs="Noto Sans"/>
          <w:sz w:val="24"/>
          <w:szCs w:val="24"/>
          <w:lang w:val="en-GB"/>
        </w:rPr>
      </w:pPr>
    </w:p>
    <w:p w14:paraId="09E41BFD" w14:textId="77777777" w:rsidR="00793C54" w:rsidRPr="00B50BB3" w:rsidRDefault="00851D47" w:rsidP="00851D47">
      <w:pPr>
        <w:spacing w:after="80" w:line="240" w:lineRule="auto"/>
        <w:rPr>
          <w:rFonts w:ascii="Noto Sans" w:hAnsi="Noto Sans" w:cs="Noto Sans"/>
          <w:b/>
          <w:sz w:val="24"/>
          <w:szCs w:val="24"/>
          <w:lang w:val="en-GB"/>
        </w:rPr>
      </w:pPr>
      <w:r w:rsidRPr="00B50BB3">
        <w:rPr>
          <w:rFonts w:ascii="Noto Sans" w:hAnsi="Noto Sans" w:cs="Noto Sans"/>
          <w:b/>
          <w:sz w:val="24"/>
          <w:szCs w:val="24"/>
          <w:lang w:val="en-GB"/>
        </w:rPr>
        <w:br w:type="page"/>
      </w:r>
    </w:p>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840"/>
      </w:tblGrid>
      <w:tr w:rsidR="00793C54" w:rsidRPr="00F762D7" w14:paraId="0AC9D94C" w14:textId="77777777" w:rsidTr="003B0C46">
        <w:trPr>
          <w:trHeight w:val="1134"/>
        </w:trPr>
        <w:tc>
          <w:tcPr>
            <w:tcW w:w="9833" w:type="dxa"/>
            <w:hideMark/>
          </w:tcPr>
          <w:tbl>
            <w:tblPr>
              <w:tblStyle w:val="TableGrid"/>
              <w:tblW w:w="0" w:type="auto"/>
              <w:tblLayout w:type="fixed"/>
              <w:tblCellMar>
                <w:left w:w="0" w:type="dxa"/>
                <w:right w:w="0" w:type="dxa"/>
              </w:tblCellMar>
              <w:tblLook w:val="04A0" w:firstRow="1" w:lastRow="0" w:firstColumn="1" w:lastColumn="0" w:noHBand="0" w:noVBand="1"/>
            </w:tblPr>
            <w:tblGrid>
              <w:gridCol w:w="5438"/>
            </w:tblGrid>
            <w:tr w:rsidR="00793C54" w:rsidRPr="00F762D7" w14:paraId="53EB6012" w14:textId="77777777" w:rsidTr="003B0C46">
              <w:trPr>
                <w:trHeight w:val="1134"/>
              </w:trPr>
              <w:tc>
                <w:tcPr>
                  <w:tcW w:w="5438" w:type="dxa"/>
                  <w:tcBorders>
                    <w:top w:val="nil"/>
                    <w:left w:val="nil"/>
                    <w:bottom w:val="nil"/>
                    <w:right w:val="nil"/>
                  </w:tcBorders>
                  <w:hideMark/>
                </w:tcPr>
                <w:p w14:paraId="0F1280FF" w14:textId="77777777" w:rsidR="00793C54" w:rsidRPr="009C49C2" w:rsidRDefault="00793C54" w:rsidP="003B0C46">
                  <w:pPr>
                    <w:pStyle w:val="Billedfelt"/>
                    <w:rPr>
                      <w:lang w:val="en-GB" w:eastAsia="en-GB"/>
                    </w:rPr>
                  </w:pPr>
                  <w:r w:rsidRPr="00B50BB3">
                    <w:rPr>
                      <w:noProof/>
                      <w:lang w:val="en-GB"/>
                    </w:rPr>
                    <w:lastRenderedPageBreak/>
                    <w:drawing>
                      <wp:anchor distT="0" distB="0" distL="114300" distR="114300" simplePos="0" relativeHeight="251661312" behindDoc="0" locked="0" layoutInCell="1" allowOverlap="1" wp14:anchorId="39939ADA" wp14:editId="6EA869D8">
                        <wp:simplePos x="0" y="0"/>
                        <wp:positionH relativeFrom="page">
                          <wp:posOffset>0</wp:posOffset>
                        </wp:positionH>
                        <wp:positionV relativeFrom="page">
                          <wp:posOffset>8255</wp:posOffset>
                        </wp:positionV>
                        <wp:extent cx="2563495" cy="6121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7D17D8A" w14:textId="77777777" w:rsidR="00793C54" w:rsidRPr="009C49C2" w:rsidRDefault="00793C54" w:rsidP="003B0C46">
            <w:pPr>
              <w:pStyle w:val="Udarbejdet"/>
              <w:rPr>
                <w:lang w:val="en-GB" w:eastAsia="en-GB"/>
              </w:rPr>
            </w:pPr>
          </w:p>
        </w:tc>
      </w:tr>
      <w:tr w:rsidR="00793C54" w:rsidRPr="009C49C2" w14:paraId="6D26DFED" w14:textId="77777777" w:rsidTr="003B0C46">
        <w:trPr>
          <w:trHeight w:val="322"/>
        </w:trPr>
        <w:tc>
          <w:tcPr>
            <w:tcW w:w="9833" w:type="dxa"/>
            <w:tcBorders>
              <w:top w:val="nil"/>
              <w:left w:val="nil"/>
              <w:bottom w:val="single" w:sz="4" w:space="0" w:color="E52020"/>
              <w:right w:val="nil"/>
            </w:tcBorders>
            <w:hideMark/>
          </w:tcPr>
          <w:p w14:paraId="7CA1FAFE" w14:textId="2EED13FA" w:rsidR="00793C54" w:rsidRPr="00B50BB3" w:rsidRDefault="00793C54" w:rsidP="003B0C46">
            <w:pPr>
              <w:pStyle w:val="Forsidedato"/>
              <w:rPr>
                <w:color w:val="E52020"/>
                <w:lang w:val="en-GB" w:eastAsia="en-GB"/>
              </w:rPr>
            </w:pPr>
            <w:r w:rsidRPr="00B50BB3">
              <w:rPr>
                <w:color w:val="E52020"/>
                <w:lang w:val="en-GB" w:eastAsia="en-GB"/>
              </w:rPr>
              <w:t xml:space="preserve">Template 09 </w:t>
            </w:r>
            <w:r w:rsidRPr="00B50BB3">
              <w:rPr>
                <w:color w:val="FF0000"/>
                <w:lang w:val="en-GB" w:eastAsia="en-GB"/>
              </w:rPr>
              <w:t>-</w:t>
            </w:r>
            <w:r w:rsidR="0072588A" w:rsidRPr="00B50BB3">
              <w:rPr>
                <w:color w:val="FF0000"/>
                <w:lang w:val="en-GB" w:eastAsia="en-GB"/>
              </w:rPr>
              <w:t xml:space="preserve"> </w:t>
            </w:r>
            <w:r w:rsidR="00B843F4" w:rsidRPr="00B50BB3">
              <w:rPr>
                <w:color w:val="FF0000"/>
                <w:lang w:val="en-GB" w:eastAsia="en-GB"/>
              </w:rPr>
              <w:t>[DD/MM/YYYY]</w:t>
            </w:r>
          </w:p>
        </w:tc>
      </w:tr>
      <w:tr w:rsidR="00793C54" w:rsidRPr="009C49C2" w14:paraId="743F4053" w14:textId="77777777" w:rsidTr="003B0C46">
        <w:trPr>
          <w:trHeight w:val="686"/>
        </w:trPr>
        <w:tc>
          <w:tcPr>
            <w:tcW w:w="9833" w:type="dxa"/>
            <w:tcBorders>
              <w:top w:val="single" w:sz="4" w:space="0" w:color="E52020"/>
              <w:left w:val="nil"/>
              <w:bottom w:val="nil"/>
              <w:right w:val="nil"/>
            </w:tcBorders>
            <w:tcMar>
              <w:top w:w="284" w:type="dxa"/>
              <w:left w:w="0" w:type="dxa"/>
              <w:bottom w:w="0" w:type="dxa"/>
              <w:right w:w="0" w:type="dxa"/>
            </w:tcMar>
          </w:tcPr>
          <w:p w14:paraId="07697878" w14:textId="56035B91" w:rsidR="00793C54" w:rsidRPr="009C49C2" w:rsidRDefault="00793C54" w:rsidP="003B0C46">
            <w:pPr>
              <w:jc w:val="center"/>
              <w:rPr>
                <w:rFonts w:ascii="Garamond" w:hAnsi="Garamond"/>
                <w:b/>
                <w:sz w:val="40"/>
                <w:szCs w:val="40"/>
                <w:lang w:val="en-GB" w:eastAsia="en-GB"/>
              </w:rPr>
            </w:pPr>
            <w:r w:rsidRPr="009C49C2">
              <w:rPr>
                <w:rFonts w:ascii="Diplomacy Office Bold" w:hAnsi="Diplomacy Office Bold" w:cs="Segoe UI"/>
                <w:caps/>
                <w:color w:val="9B0D2B"/>
                <w:sz w:val="48"/>
                <w:szCs w:val="48"/>
                <w:bdr w:val="none" w:sz="0" w:space="0" w:color="auto" w:frame="1"/>
                <w:lang w:val="en-GB" w:eastAsia="en-GB"/>
              </w:rPr>
              <w:t>Risk management matrix</w:t>
            </w:r>
          </w:p>
        </w:tc>
      </w:tr>
    </w:tbl>
    <w:p w14:paraId="6A8C1D53" w14:textId="5AFA50B8" w:rsidR="00851D47" w:rsidRPr="009C49C2" w:rsidRDefault="00851D47" w:rsidP="00851D47">
      <w:pPr>
        <w:spacing w:after="80" w:line="240" w:lineRule="auto"/>
        <w:rPr>
          <w:rFonts w:ascii="Noto Sans" w:hAnsi="Noto Sans" w:cs="Noto Sans"/>
          <w:b/>
          <w:i/>
          <w:sz w:val="24"/>
          <w:szCs w:val="24"/>
          <w:lang w:val="en-GB"/>
        </w:rPr>
      </w:pPr>
      <w:r w:rsidRPr="009C49C2">
        <w:rPr>
          <w:rFonts w:ascii="Noto Sans" w:hAnsi="Noto Sans" w:cs="Noto Sans"/>
          <w:b/>
          <w:i/>
          <w:sz w:val="24"/>
          <w:szCs w:val="24"/>
          <w:highlight w:val="yellow"/>
          <w:lang w:val="en-GB"/>
        </w:rPr>
        <w:t>[Instruction: before finalising this annex, please delete the</w:t>
      </w:r>
      <w:r w:rsidR="0072588A" w:rsidRPr="009C49C2">
        <w:rPr>
          <w:rFonts w:ascii="Noto Sans" w:hAnsi="Noto Sans" w:cs="Noto Sans"/>
          <w:b/>
          <w:i/>
          <w:sz w:val="24"/>
          <w:szCs w:val="24"/>
          <w:highlight w:val="yellow"/>
          <w:lang w:val="en-GB"/>
        </w:rPr>
        <w:t xml:space="preserve"> explanation above, the</w:t>
      </w:r>
      <w:r w:rsidRPr="009C49C2">
        <w:rPr>
          <w:rFonts w:ascii="Noto Sans" w:hAnsi="Noto Sans" w:cs="Noto Sans"/>
          <w:b/>
          <w:i/>
          <w:sz w:val="24"/>
          <w:szCs w:val="24"/>
          <w:highlight w:val="yellow"/>
          <w:lang w:val="en-GB"/>
        </w:rPr>
        <w:t xml:space="preserve"> example provided below and the highlighted text.]</w:t>
      </w:r>
    </w:p>
    <w:p w14:paraId="1C4DEB92" w14:textId="1DCF94AF" w:rsidR="00851D47" w:rsidRPr="009C49C2" w:rsidRDefault="00851D47" w:rsidP="00793C54">
      <w:pPr>
        <w:keepNext/>
        <w:keepLines/>
        <w:shd w:val="clear" w:color="auto" w:fill="E5E5E5"/>
        <w:spacing w:before="200" w:after="120" w:line="240" w:lineRule="auto"/>
        <w:outlineLvl w:val="1"/>
        <w:rPr>
          <w:rFonts w:ascii="Noto Sans" w:eastAsiaTheme="majorEastAsia" w:hAnsi="Noto Sans" w:cs="Noto Sans"/>
          <w:b/>
          <w:color w:val="9B0D2B"/>
          <w:sz w:val="24"/>
          <w:szCs w:val="24"/>
          <w:lang w:val="en-GB"/>
        </w:rPr>
      </w:pPr>
      <w:r w:rsidRPr="009C49C2">
        <w:rPr>
          <w:rFonts w:ascii="Noto Sans" w:eastAsiaTheme="majorEastAsia" w:hAnsi="Noto Sans" w:cs="Noto Sans"/>
          <w:b/>
          <w:caps/>
          <w:color w:val="9B0D2B"/>
          <w:sz w:val="24"/>
          <w:szCs w:val="24"/>
          <w:lang w:val="en-GB"/>
        </w:rPr>
        <w:t>Contextual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184"/>
        <w:gridCol w:w="879"/>
        <w:gridCol w:w="1545"/>
        <w:gridCol w:w="1876"/>
        <w:gridCol w:w="2767"/>
      </w:tblGrid>
      <w:tr w:rsidR="00851D47" w:rsidRPr="009C49C2" w14:paraId="10254464" w14:textId="77777777" w:rsidTr="00793C54">
        <w:tc>
          <w:tcPr>
            <w:tcW w:w="1838" w:type="dxa"/>
            <w:tcBorders>
              <w:top w:val="single" w:sz="4" w:space="0" w:color="auto"/>
              <w:left w:val="single" w:sz="4" w:space="0" w:color="auto"/>
              <w:bottom w:val="single" w:sz="4" w:space="0" w:color="auto"/>
              <w:right w:val="single" w:sz="4" w:space="0" w:color="auto"/>
            </w:tcBorders>
            <w:shd w:val="clear" w:color="auto" w:fill="97A595"/>
            <w:hideMark/>
          </w:tcPr>
          <w:p w14:paraId="74530186"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Risk Factor</w:t>
            </w:r>
          </w:p>
        </w:tc>
        <w:tc>
          <w:tcPr>
            <w:tcW w:w="1276" w:type="dxa"/>
            <w:tcBorders>
              <w:top w:val="single" w:sz="4" w:space="0" w:color="auto"/>
              <w:left w:val="single" w:sz="4" w:space="0" w:color="auto"/>
              <w:bottom w:val="single" w:sz="4" w:space="0" w:color="auto"/>
              <w:right w:val="single" w:sz="4" w:space="0" w:color="auto"/>
            </w:tcBorders>
            <w:shd w:val="clear" w:color="auto" w:fill="97A595"/>
            <w:hideMark/>
          </w:tcPr>
          <w:p w14:paraId="2F6E6871"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Likelihood</w:t>
            </w:r>
          </w:p>
        </w:tc>
        <w:tc>
          <w:tcPr>
            <w:tcW w:w="992" w:type="dxa"/>
            <w:tcBorders>
              <w:top w:val="single" w:sz="4" w:space="0" w:color="auto"/>
              <w:left w:val="single" w:sz="4" w:space="0" w:color="auto"/>
              <w:bottom w:val="single" w:sz="4" w:space="0" w:color="auto"/>
              <w:right w:val="single" w:sz="4" w:space="0" w:color="auto"/>
            </w:tcBorders>
            <w:shd w:val="clear" w:color="auto" w:fill="97A595"/>
            <w:hideMark/>
          </w:tcPr>
          <w:p w14:paraId="39A98D25"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Impact</w:t>
            </w:r>
          </w:p>
        </w:tc>
        <w:tc>
          <w:tcPr>
            <w:tcW w:w="2268" w:type="dxa"/>
            <w:tcBorders>
              <w:top w:val="single" w:sz="4" w:space="0" w:color="auto"/>
              <w:left w:val="single" w:sz="4" w:space="0" w:color="auto"/>
              <w:bottom w:val="single" w:sz="4" w:space="0" w:color="auto"/>
              <w:right w:val="single" w:sz="4" w:space="0" w:color="auto"/>
            </w:tcBorders>
            <w:shd w:val="clear" w:color="auto" w:fill="97A595"/>
            <w:hideMark/>
          </w:tcPr>
          <w:p w14:paraId="389892F8"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Risk response</w:t>
            </w:r>
          </w:p>
        </w:tc>
        <w:tc>
          <w:tcPr>
            <w:tcW w:w="3119" w:type="dxa"/>
            <w:tcBorders>
              <w:top w:val="single" w:sz="4" w:space="0" w:color="auto"/>
              <w:left w:val="single" w:sz="4" w:space="0" w:color="auto"/>
              <w:bottom w:val="single" w:sz="4" w:space="0" w:color="auto"/>
              <w:right w:val="single" w:sz="4" w:space="0" w:color="auto"/>
            </w:tcBorders>
            <w:shd w:val="clear" w:color="auto" w:fill="97A595"/>
            <w:hideMark/>
          </w:tcPr>
          <w:p w14:paraId="504AF55B"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Residual risk</w:t>
            </w:r>
          </w:p>
        </w:tc>
        <w:tc>
          <w:tcPr>
            <w:tcW w:w="4819" w:type="dxa"/>
            <w:tcBorders>
              <w:top w:val="single" w:sz="4" w:space="0" w:color="auto"/>
              <w:left w:val="single" w:sz="4" w:space="0" w:color="auto"/>
              <w:bottom w:val="single" w:sz="4" w:space="0" w:color="auto"/>
              <w:right w:val="single" w:sz="4" w:space="0" w:color="auto"/>
            </w:tcBorders>
            <w:shd w:val="clear" w:color="auto" w:fill="97A595"/>
            <w:hideMark/>
          </w:tcPr>
          <w:p w14:paraId="66B385EA"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Background to assessment</w:t>
            </w:r>
          </w:p>
        </w:tc>
      </w:tr>
      <w:tr w:rsidR="00851D47" w:rsidRPr="009C49C2" w14:paraId="40DF0D68" w14:textId="77777777" w:rsidTr="00371A69">
        <w:tc>
          <w:tcPr>
            <w:tcW w:w="1838" w:type="dxa"/>
            <w:tcBorders>
              <w:top w:val="single" w:sz="4" w:space="0" w:color="auto"/>
              <w:left w:val="single" w:sz="4" w:space="0" w:color="auto"/>
              <w:bottom w:val="single" w:sz="4" w:space="0" w:color="auto"/>
              <w:right w:val="single" w:sz="4" w:space="0" w:color="auto"/>
            </w:tcBorders>
          </w:tcPr>
          <w:p w14:paraId="00BD76C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Political </w:t>
            </w:r>
          </w:p>
        </w:tc>
        <w:tc>
          <w:tcPr>
            <w:tcW w:w="1276" w:type="dxa"/>
            <w:tcBorders>
              <w:top w:val="single" w:sz="4" w:space="0" w:color="auto"/>
              <w:left w:val="single" w:sz="4" w:space="0" w:color="auto"/>
              <w:bottom w:val="single" w:sz="4" w:space="0" w:color="auto"/>
              <w:right w:val="single" w:sz="4" w:space="0" w:color="auto"/>
            </w:tcBorders>
          </w:tcPr>
          <w:p w14:paraId="7F81E6C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357FA5F5"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7D0E6D7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2D8A305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296C755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7A8E1E8E" w14:textId="77777777" w:rsidTr="00371A69">
        <w:tc>
          <w:tcPr>
            <w:tcW w:w="1838" w:type="dxa"/>
            <w:tcBorders>
              <w:top w:val="single" w:sz="4" w:space="0" w:color="auto"/>
              <w:left w:val="single" w:sz="4" w:space="0" w:color="auto"/>
              <w:bottom w:val="single" w:sz="4" w:space="0" w:color="auto"/>
              <w:right w:val="single" w:sz="4" w:space="0" w:color="auto"/>
            </w:tcBorders>
          </w:tcPr>
          <w:p w14:paraId="48123775"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7DE653D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082ABB1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6A5746ED"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3148E47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54707D9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238224FE" w14:textId="77777777" w:rsidTr="00371A69">
        <w:tc>
          <w:tcPr>
            <w:tcW w:w="1838" w:type="dxa"/>
            <w:tcBorders>
              <w:top w:val="single" w:sz="4" w:space="0" w:color="auto"/>
              <w:left w:val="single" w:sz="4" w:space="0" w:color="auto"/>
              <w:bottom w:val="single" w:sz="4" w:space="0" w:color="auto"/>
              <w:right w:val="single" w:sz="4" w:space="0" w:color="auto"/>
            </w:tcBorders>
          </w:tcPr>
          <w:p w14:paraId="3937299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Economic </w:t>
            </w:r>
          </w:p>
        </w:tc>
        <w:tc>
          <w:tcPr>
            <w:tcW w:w="1276" w:type="dxa"/>
            <w:tcBorders>
              <w:top w:val="single" w:sz="4" w:space="0" w:color="auto"/>
              <w:left w:val="single" w:sz="4" w:space="0" w:color="auto"/>
              <w:bottom w:val="single" w:sz="4" w:space="0" w:color="auto"/>
              <w:right w:val="single" w:sz="4" w:space="0" w:color="auto"/>
            </w:tcBorders>
          </w:tcPr>
          <w:p w14:paraId="1443776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7B47587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7B19CF1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282A2A3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74A2C59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45C342C6" w14:textId="77777777" w:rsidTr="00371A69">
        <w:tc>
          <w:tcPr>
            <w:tcW w:w="1838" w:type="dxa"/>
            <w:tcBorders>
              <w:top w:val="single" w:sz="4" w:space="0" w:color="auto"/>
              <w:left w:val="single" w:sz="4" w:space="0" w:color="auto"/>
              <w:bottom w:val="single" w:sz="4" w:space="0" w:color="auto"/>
              <w:right w:val="single" w:sz="4" w:space="0" w:color="auto"/>
            </w:tcBorders>
          </w:tcPr>
          <w:p w14:paraId="52D1EB8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5A45904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39BCE5C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1EC727E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5951CBDD"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3206B10E"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6D6F617F" w14:textId="77777777" w:rsidTr="00371A69">
        <w:tc>
          <w:tcPr>
            <w:tcW w:w="1838" w:type="dxa"/>
            <w:tcBorders>
              <w:top w:val="single" w:sz="4" w:space="0" w:color="auto"/>
              <w:left w:val="single" w:sz="4" w:space="0" w:color="auto"/>
              <w:bottom w:val="single" w:sz="4" w:space="0" w:color="auto"/>
              <w:right w:val="single" w:sz="4" w:space="0" w:color="auto"/>
            </w:tcBorders>
          </w:tcPr>
          <w:p w14:paraId="6EE573D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Societal </w:t>
            </w:r>
          </w:p>
        </w:tc>
        <w:tc>
          <w:tcPr>
            <w:tcW w:w="1276" w:type="dxa"/>
            <w:tcBorders>
              <w:top w:val="single" w:sz="4" w:space="0" w:color="auto"/>
              <w:left w:val="single" w:sz="4" w:space="0" w:color="auto"/>
              <w:bottom w:val="single" w:sz="4" w:space="0" w:color="auto"/>
              <w:right w:val="single" w:sz="4" w:space="0" w:color="auto"/>
            </w:tcBorders>
          </w:tcPr>
          <w:p w14:paraId="739A6EC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06998B0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4B76B22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239D679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689D165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66A6823F" w14:textId="77777777" w:rsidTr="00371A69">
        <w:tc>
          <w:tcPr>
            <w:tcW w:w="1838" w:type="dxa"/>
            <w:tcBorders>
              <w:top w:val="single" w:sz="4" w:space="0" w:color="auto"/>
              <w:left w:val="single" w:sz="4" w:space="0" w:color="auto"/>
              <w:bottom w:val="single" w:sz="4" w:space="0" w:color="auto"/>
              <w:right w:val="single" w:sz="4" w:space="0" w:color="auto"/>
            </w:tcBorders>
          </w:tcPr>
          <w:p w14:paraId="64FC271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3873A09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46E4FD3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59D36645"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1E075AD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1B354BB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6E3AB948" w14:textId="77777777" w:rsidTr="00371A69">
        <w:tc>
          <w:tcPr>
            <w:tcW w:w="1838" w:type="dxa"/>
            <w:tcBorders>
              <w:top w:val="single" w:sz="4" w:space="0" w:color="auto"/>
              <w:left w:val="single" w:sz="4" w:space="0" w:color="auto"/>
              <w:bottom w:val="single" w:sz="4" w:space="0" w:color="auto"/>
              <w:right w:val="single" w:sz="4" w:space="0" w:color="auto"/>
            </w:tcBorders>
          </w:tcPr>
          <w:p w14:paraId="1CDF91C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Environment </w:t>
            </w:r>
          </w:p>
        </w:tc>
        <w:tc>
          <w:tcPr>
            <w:tcW w:w="1276" w:type="dxa"/>
            <w:tcBorders>
              <w:top w:val="single" w:sz="4" w:space="0" w:color="auto"/>
              <w:left w:val="single" w:sz="4" w:space="0" w:color="auto"/>
              <w:bottom w:val="single" w:sz="4" w:space="0" w:color="auto"/>
              <w:right w:val="single" w:sz="4" w:space="0" w:color="auto"/>
            </w:tcBorders>
          </w:tcPr>
          <w:p w14:paraId="47E7CEBD"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22F30DE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6168A68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06C8E2C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63AFE6E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56FC7DE3" w14:textId="77777777" w:rsidTr="00371A69">
        <w:tc>
          <w:tcPr>
            <w:tcW w:w="1838" w:type="dxa"/>
            <w:tcBorders>
              <w:top w:val="single" w:sz="4" w:space="0" w:color="auto"/>
              <w:left w:val="single" w:sz="4" w:space="0" w:color="auto"/>
              <w:bottom w:val="single" w:sz="4" w:space="0" w:color="auto"/>
              <w:right w:val="single" w:sz="4" w:space="0" w:color="auto"/>
            </w:tcBorders>
          </w:tcPr>
          <w:p w14:paraId="5DE2FF4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68685E5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06F94DF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25309BF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54DC95D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2D6D590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7F2DFFEA" w14:textId="77777777" w:rsidTr="00371A69">
        <w:tc>
          <w:tcPr>
            <w:tcW w:w="1838" w:type="dxa"/>
            <w:tcBorders>
              <w:top w:val="single" w:sz="4" w:space="0" w:color="auto"/>
              <w:left w:val="single" w:sz="4" w:space="0" w:color="auto"/>
              <w:bottom w:val="single" w:sz="4" w:space="0" w:color="auto"/>
              <w:right w:val="single" w:sz="4" w:space="0" w:color="auto"/>
            </w:tcBorders>
          </w:tcPr>
          <w:p w14:paraId="2F76575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Security </w:t>
            </w:r>
          </w:p>
        </w:tc>
        <w:tc>
          <w:tcPr>
            <w:tcW w:w="1276" w:type="dxa"/>
            <w:tcBorders>
              <w:top w:val="single" w:sz="4" w:space="0" w:color="auto"/>
              <w:left w:val="single" w:sz="4" w:space="0" w:color="auto"/>
              <w:bottom w:val="single" w:sz="4" w:space="0" w:color="auto"/>
              <w:right w:val="single" w:sz="4" w:space="0" w:color="auto"/>
            </w:tcBorders>
          </w:tcPr>
          <w:p w14:paraId="6A01715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5465A3B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5A469B8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61C8F05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74B92E3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4C81A801" w14:textId="77777777" w:rsidTr="00371A69">
        <w:tc>
          <w:tcPr>
            <w:tcW w:w="1838" w:type="dxa"/>
            <w:tcBorders>
              <w:top w:val="single" w:sz="4" w:space="0" w:color="auto"/>
              <w:left w:val="single" w:sz="4" w:space="0" w:color="auto"/>
              <w:bottom w:val="single" w:sz="4" w:space="0" w:color="auto"/>
              <w:right w:val="single" w:sz="4" w:space="0" w:color="auto"/>
            </w:tcBorders>
          </w:tcPr>
          <w:p w14:paraId="22BFA66D"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2D60652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6615AD4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268" w:type="dxa"/>
            <w:tcBorders>
              <w:top w:val="single" w:sz="4" w:space="0" w:color="auto"/>
              <w:left w:val="single" w:sz="4" w:space="0" w:color="auto"/>
              <w:bottom w:val="single" w:sz="4" w:space="0" w:color="auto"/>
              <w:right w:val="single" w:sz="4" w:space="0" w:color="auto"/>
            </w:tcBorders>
          </w:tcPr>
          <w:p w14:paraId="68A4B53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3119" w:type="dxa"/>
            <w:tcBorders>
              <w:top w:val="single" w:sz="4" w:space="0" w:color="auto"/>
              <w:left w:val="single" w:sz="4" w:space="0" w:color="auto"/>
              <w:bottom w:val="single" w:sz="4" w:space="0" w:color="auto"/>
              <w:right w:val="single" w:sz="4" w:space="0" w:color="auto"/>
            </w:tcBorders>
          </w:tcPr>
          <w:p w14:paraId="11C9AD1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0102339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bl>
    <w:p w14:paraId="25171624" w14:textId="77777777" w:rsidR="00851D47" w:rsidRPr="009C49C2" w:rsidRDefault="00851D47" w:rsidP="00851D47">
      <w:pPr>
        <w:spacing w:after="0" w:line="240" w:lineRule="auto"/>
        <w:rPr>
          <w:rFonts w:ascii="Noto Sans" w:hAnsi="Noto Sans" w:cs="Noto Sans"/>
          <w:sz w:val="16"/>
          <w:szCs w:val="16"/>
          <w:lang w:val="en-GB"/>
        </w:rPr>
      </w:pPr>
    </w:p>
    <w:p w14:paraId="01B937FA" w14:textId="2ECFA8F0" w:rsidR="00851D47" w:rsidRPr="009C49C2" w:rsidRDefault="00851D47" w:rsidP="00793C54">
      <w:pPr>
        <w:shd w:val="clear" w:color="auto" w:fill="E5E5E5"/>
        <w:spacing w:before="120" w:after="120" w:line="240" w:lineRule="auto"/>
        <w:rPr>
          <w:rFonts w:ascii="Noto Sans" w:eastAsiaTheme="majorEastAsia" w:hAnsi="Noto Sans" w:cs="Noto Sans"/>
          <w:b/>
          <w:caps/>
          <w:color w:val="9B0D2B"/>
          <w:sz w:val="24"/>
          <w:szCs w:val="24"/>
          <w:lang w:val="en-GB"/>
        </w:rPr>
      </w:pPr>
      <w:r w:rsidRPr="009C49C2">
        <w:rPr>
          <w:rFonts w:ascii="Noto Sans" w:eastAsiaTheme="majorEastAsia" w:hAnsi="Noto Sans" w:cs="Noto Sans"/>
          <w:b/>
          <w:caps/>
          <w:color w:val="9B0D2B"/>
          <w:sz w:val="24"/>
          <w:szCs w:val="24"/>
          <w:lang w:val="en-GB"/>
        </w:rPr>
        <w:t xml:space="preserve">Programmatic risks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116"/>
        <w:gridCol w:w="881"/>
        <w:gridCol w:w="1553"/>
        <w:gridCol w:w="1888"/>
        <w:gridCol w:w="2788"/>
      </w:tblGrid>
      <w:tr w:rsidR="00851D47" w:rsidRPr="009C49C2" w14:paraId="594942E9" w14:textId="77777777" w:rsidTr="00F762D7">
        <w:tc>
          <w:tcPr>
            <w:tcW w:w="1555" w:type="dxa"/>
            <w:tcBorders>
              <w:top w:val="single" w:sz="4" w:space="0" w:color="auto"/>
              <w:left w:val="single" w:sz="4" w:space="0" w:color="auto"/>
              <w:bottom w:val="single" w:sz="4" w:space="0" w:color="auto"/>
              <w:right w:val="single" w:sz="4" w:space="0" w:color="auto"/>
            </w:tcBorders>
            <w:shd w:val="clear" w:color="auto" w:fill="97A595"/>
            <w:hideMark/>
          </w:tcPr>
          <w:p w14:paraId="39A51D94"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Risk Factor</w:t>
            </w:r>
          </w:p>
        </w:tc>
        <w:tc>
          <w:tcPr>
            <w:tcW w:w="886" w:type="dxa"/>
            <w:tcBorders>
              <w:top w:val="single" w:sz="4" w:space="0" w:color="auto"/>
              <w:left w:val="single" w:sz="4" w:space="0" w:color="auto"/>
              <w:bottom w:val="single" w:sz="4" w:space="0" w:color="auto"/>
              <w:right w:val="single" w:sz="4" w:space="0" w:color="auto"/>
            </w:tcBorders>
            <w:shd w:val="clear" w:color="auto" w:fill="97A595"/>
            <w:hideMark/>
          </w:tcPr>
          <w:p w14:paraId="0E6C939C"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Likelihood</w:t>
            </w:r>
          </w:p>
        </w:tc>
        <w:tc>
          <w:tcPr>
            <w:tcW w:w="886" w:type="dxa"/>
            <w:tcBorders>
              <w:top w:val="single" w:sz="4" w:space="0" w:color="auto"/>
              <w:left w:val="single" w:sz="4" w:space="0" w:color="auto"/>
              <w:bottom w:val="single" w:sz="4" w:space="0" w:color="auto"/>
              <w:right w:val="single" w:sz="4" w:space="0" w:color="auto"/>
            </w:tcBorders>
            <w:shd w:val="clear" w:color="auto" w:fill="97A595"/>
            <w:hideMark/>
          </w:tcPr>
          <w:p w14:paraId="76676DCF"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Impact</w:t>
            </w:r>
          </w:p>
        </w:tc>
        <w:tc>
          <w:tcPr>
            <w:tcW w:w="1585" w:type="dxa"/>
            <w:tcBorders>
              <w:top w:val="single" w:sz="4" w:space="0" w:color="auto"/>
              <w:left w:val="single" w:sz="4" w:space="0" w:color="auto"/>
              <w:bottom w:val="single" w:sz="4" w:space="0" w:color="auto"/>
              <w:right w:val="single" w:sz="4" w:space="0" w:color="auto"/>
            </w:tcBorders>
            <w:shd w:val="clear" w:color="auto" w:fill="97A595"/>
            <w:hideMark/>
          </w:tcPr>
          <w:p w14:paraId="78EC897E"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Risk response</w:t>
            </w:r>
          </w:p>
        </w:tc>
        <w:tc>
          <w:tcPr>
            <w:tcW w:w="1944" w:type="dxa"/>
            <w:tcBorders>
              <w:top w:val="single" w:sz="4" w:space="0" w:color="auto"/>
              <w:left w:val="single" w:sz="4" w:space="0" w:color="auto"/>
              <w:bottom w:val="single" w:sz="4" w:space="0" w:color="auto"/>
              <w:right w:val="single" w:sz="4" w:space="0" w:color="auto"/>
            </w:tcBorders>
            <w:shd w:val="clear" w:color="auto" w:fill="97A595"/>
            <w:hideMark/>
          </w:tcPr>
          <w:p w14:paraId="2563AB2C"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Residual risk</w:t>
            </w:r>
          </w:p>
        </w:tc>
        <w:tc>
          <w:tcPr>
            <w:tcW w:w="2880" w:type="dxa"/>
            <w:tcBorders>
              <w:top w:val="single" w:sz="4" w:space="0" w:color="auto"/>
              <w:left w:val="single" w:sz="4" w:space="0" w:color="auto"/>
              <w:bottom w:val="single" w:sz="4" w:space="0" w:color="auto"/>
              <w:right w:val="single" w:sz="4" w:space="0" w:color="auto"/>
            </w:tcBorders>
            <w:shd w:val="clear" w:color="auto" w:fill="97A595"/>
            <w:hideMark/>
          </w:tcPr>
          <w:p w14:paraId="7BAA8F52"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Background to assessment</w:t>
            </w:r>
          </w:p>
        </w:tc>
      </w:tr>
      <w:tr w:rsidR="00851D47" w:rsidRPr="009C49C2" w14:paraId="7BD9B6BE" w14:textId="77777777" w:rsidTr="00F762D7">
        <w:tc>
          <w:tcPr>
            <w:tcW w:w="1555" w:type="dxa"/>
            <w:tcBorders>
              <w:top w:val="single" w:sz="4" w:space="0" w:color="auto"/>
              <w:left w:val="single" w:sz="4" w:space="0" w:color="auto"/>
              <w:bottom w:val="single" w:sz="4" w:space="0" w:color="auto"/>
              <w:right w:val="single" w:sz="4" w:space="0" w:color="auto"/>
            </w:tcBorders>
          </w:tcPr>
          <w:p w14:paraId="6A98C3E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019F636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5AB5705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7DA4629E"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266853F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0B69FB4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3E02321D" w14:textId="77777777" w:rsidTr="00F762D7">
        <w:tc>
          <w:tcPr>
            <w:tcW w:w="1555" w:type="dxa"/>
            <w:tcBorders>
              <w:top w:val="single" w:sz="4" w:space="0" w:color="auto"/>
              <w:left w:val="single" w:sz="4" w:space="0" w:color="auto"/>
              <w:bottom w:val="single" w:sz="4" w:space="0" w:color="auto"/>
              <w:right w:val="single" w:sz="4" w:space="0" w:color="auto"/>
            </w:tcBorders>
          </w:tcPr>
          <w:p w14:paraId="6A44A31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6630896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6F13560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53D769A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09FD57A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5717902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25A97593" w14:textId="77777777" w:rsidTr="00F762D7">
        <w:tc>
          <w:tcPr>
            <w:tcW w:w="1555" w:type="dxa"/>
            <w:tcBorders>
              <w:top w:val="single" w:sz="4" w:space="0" w:color="auto"/>
              <w:left w:val="single" w:sz="4" w:space="0" w:color="auto"/>
              <w:bottom w:val="single" w:sz="4" w:space="0" w:color="auto"/>
              <w:right w:val="single" w:sz="4" w:space="0" w:color="auto"/>
            </w:tcBorders>
          </w:tcPr>
          <w:p w14:paraId="7549455E"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16F7284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22CFF7E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1F65BB1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1CC77CA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2C070DCE"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0C3ADB1F" w14:textId="77777777" w:rsidTr="00F762D7">
        <w:tc>
          <w:tcPr>
            <w:tcW w:w="1555" w:type="dxa"/>
            <w:tcBorders>
              <w:top w:val="single" w:sz="4" w:space="0" w:color="auto"/>
              <w:left w:val="single" w:sz="4" w:space="0" w:color="auto"/>
              <w:bottom w:val="single" w:sz="4" w:space="0" w:color="auto"/>
              <w:right w:val="single" w:sz="4" w:space="0" w:color="auto"/>
            </w:tcBorders>
          </w:tcPr>
          <w:p w14:paraId="711044C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182C090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6C62E69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293556F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7E573F3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74200A5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1B6F8F78" w14:textId="77777777" w:rsidTr="00F762D7">
        <w:tc>
          <w:tcPr>
            <w:tcW w:w="1555" w:type="dxa"/>
            <w:tcBorders>
              <w:top w:val="single" w:sz="4" w:space="0" w:color="auto"/>
              <w:left w:val="single" w:sz="4" w:space="0" w:color="auto"/>
              <w:bottom w:val="single" w:sz="4" w:space="0" w:color="auto"/>
              <w:right w:val="single" w:sz="4" w:space="0" w:color="auto"/>
            </w:tcBorders>
          </w:tcPr>
          <w:p w14:paraId="48F4EA6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76D28AA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061EED5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6B83B1A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3643B42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5E631D8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4DE90F77" w14:textId="77777777" w:rsidTr="00F762D7">
        <w:tc>
          <w:tcPr>
            <w:tcW w:w="1555" w:type="dxa"/>
            <w:tcBorders>
              <w:top w:val="single" w:sz="4" w:space="0" w:color="auto"/>
              <w:left w:val="single" w:sz="4" w:space="0" w:color="auto"/>
              <w:bottom w:val="single" w:sz="4" w:space="0" w:color="auto"/>
              <w:right w:val="single" w:sz="4" w:space="0" w:color="auto"/>
            </w:tcBorders>
          </w:tcPr>
          <w:p w14:paraId="21DFAB8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1CC38DE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1528353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428EEF8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0086DDE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50FB25E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20FCA562" w14:textId="77777777" w:rsidTr="00F762D7">
        <w:tc>
          <w:tcPr>
            <w:tcW w:w="1555" w:type="dxa"/>
            <w:tcBorders>
              <w:top w:val="single" w:sz="4" w:space="0" w:color="auto"/>
              <w:left w:val="single" w:sz="4" w:space="0" w:color="auto"/>
              <w:bottom w:val="single" w:sz="4" w:space="0" w:color="auto"/>
              <w:right w:val="single" w:sz="4" w:space="0" w:color="auto"/>
            </w:tcBorders>
          </w:tcPr>
          <w:p w14:paraId="01032EA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7221C87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151514A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64C5A3A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0D233F5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1C41BD0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00C1A799" w14:textId="77777777" w:rsidTr="00F762D7">
        <w:tc>
          <w:tcPr>
            <w:tcW w:w="1555" w:type="dxa"/>
            <w:tcBorders>
              <w:top w:val="single" w:sz="4" w:space="0" w:color="auto"/>
              <w:left w:val="single" w:sz="4" w:space="0" w:color="auto"/>
              <w:bottom w:val="single" w:sz="4" w:space="0" w:color="auto"/>
              <w:right w:val="single" w:sz="4" w:space="0" w:color="auto"/>
            </w:tcBorders>
          </w:tcPr>
          <w:p w14:paraId="1761682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0EE5B24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1CF52F4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0523765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3C7F75E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00DB867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61615A15" w14:textId="77777777" w:rsidTr="00F762D7">
        <w:tc>
          <w:tcPr>
            <w:tcW w:w="1555" w:type="dxa"/>
            <w:tcBorders>
              <w:top w:val="single" w:sz="4" w:space="0" w:color="auto"/>
              <w:left w:val="single" w:sz="4" w:space="0" w:color="auto"/>
              <w:bottom w:val="single" w:sz="4" w:space="0" w:color="auto"/>
              <w:right w:val="single" w:sz="4" w:space="0" w:color="auto"/>
            </w:tcBorders>
          </w:tcPr>
          <w:p w14:paraId="2047467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6966225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0E3F770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33C4F6A5"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2636E1E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2284F2B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0CB4A5EB" w14:textId="77777777" w:rsidTr="00F762D7">
        <w:tc>
          <w:tcPr>
            <w:tcW w:w="1555" w:type="dxa"/>
            <w:tcBorders>
              <w:top w:val="single" w:sz="4" w:space="0" w:color="auto"/>
              <w:left w:val="single" w:sz="4" w:space="0" w:color="auto"/>
              <w:bottom w:val="single" w:sz="4" w:space="0" w:color="auto"/>
              <w:right w:val="single" w:sz="4" w:space="0" w:color="auto"/>
            </w:tcBorders>
          </w:tcPr>
          <w:p w14:paraId="6EC9C98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4E44D0C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86" w:type="dxa"/>
            <w:tcBorders>
              <w:top w:val="single" w:sz="4" w:space="0" w:color="auto"/>
              <w:left w:val="single" w:sz="4" w:space="0" w:color="auto"/>
              <w:bottom w:val="single" w:sz="4" w:space="0" w:color="auto"/>
              <w:right w:val="single" w:sz="4" w:space="0" w:color="auto"/>
            </w:tcBorders>
          </w:tcPr>
          <w:p w14:paraId="4109431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85" w:type="dxa"/>
            <w:tcBorders>
              <w:top w:val="single" w:sz="4" w:space="0" w:color="auto"/>
              <w:left w:val="single" w:sz="4" w:space="0" w:color="auto"/>
              <w:bottom w:val="single" w:sz="4" w:space="0" w:color="auto"/>
              <w:right w:val="single" w:sz="4" w:space="0" w:color="auto"/>
            </w:tcBorders>
          </w:tcPr>
          <w:p w14:paraId="1B5EE3E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2259F10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6F7F964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bl>
    <w:p w14:paraId="0AEC6606" w14:textId="77777777" w:rsidR="00851D47" w:rsidRPr="009C49C2" w:rsidRDefault="00851D47" w:rsidP="00793C54">
      <w:pPr>
        <w:shd w:val="clear" w:color="auto" w:fill="E5E5E5"/>
        <w:spacing w:before="120" w:after="120" w:line="240" w:lineRule="auto"/>
        <w:rPr>
          <w:rFonts w:ascii="Noto Sans" w:eastAsiaTheme="majorEastAsia" w:hAnsi="Noto Sans" w:cs="Noto Sans"/>
          <w:b/>
          <w:caps/>
          <w:color w:val="9B0D2B"/>
          <w:sz w:val="24"/>
          <w:szCs w:val="24"/>
          <w:lang w:val="en-GB"/>
        </w:rPr>
      </w:pPr>
      <w:r w:rsidRPr="009C49C2">
        <w:rPr>
          <w:rFonts w:ascii="Noto Sans" w:eastAsiaTheme="majorEastAsia" w:hAnsi="Noto Sans" w:cs="Noto Sans"/>
          <w:b/>
          <w:caps/>
          <w:color w:val="9B0D2B"/>
          <w:sz w:val="24"/>
          <w:szCs w:val="24"/>
          <w:lang w:val="en-GB"/>
        </w:rPr>
        <w:t>Institutional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116"/>
        <w:gridCol w:w="940"/>
        <w:gridCol w:w="1493"/>
        <w:gridCol w:w="1877"/>
        <w:gridCol w:w="2810"/>
      </w:tblGrid>
      <w:tr w:rsidR="00851D47" w:rsidRPr="009C49C2" w14:paraId="4D7E88B5" w14:textId="77777777" w:rsidTr="00F762D7">
        <w:tc>
          <w:tcPr>
            <w:tcW w:w="1555" w:type="dxa"/>
            <w:tcBorders>
              <w:top w:val="single" w:sz="4" w:space="0" w:color="auto"/>
              <w:left w:val="single" w:sz="4" w:space="0" w:color="auto"/>
              <w:bottom w:val="single" w:sz="4" w:space="0" w:color="auto"/>
              <w:right w:val="single" w:sz="4" w:space="0" w:color="auto"/>
            </w:tcBorders>
            <w:shd w:val="clear" w:color="auto" w:fill="97A595"/>
            <w:hideMark/>
          </w:tcPr>
          <w:p w14:paraId="2A12B7B1"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Risk Factor</w:t>
            </w:r>
          </w:p>
        </w:tc>
        <w:tc>
          <w:tcPr>
            <w:tcW w:w="834" w:type="dxa"/>
            <w:tcBorders>
              <w:top w:val="single" w:sz="4" w:space="0" w:color="auto"/>
              <w:left w:val="single" w:sz="4" w:space="0" w:color="auto"/>
              <w:bottom w:val="single" w:sz="4" w:space="0" w:color="auto"/>
              <w:right w:val="single" w:sz="4" w:space="0" w:color="auto"/>
            </w:tcBorders>
            <w:shd w:val="clear" w:color="auto" w:fill="97A595"/>
            <w:hideMark/>
          </w:tcPr>
          <w:p w14:paraId="2B1DCE07"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Likelihood</w:t>
            </w:r>
          </w:p>
        </w:tc>
        <w:tc>
          <w:tcPr>
            <w:tcW w:w="951" w:type="dxa"/>
            <w:tcBorders>
              <w:top w:val="single" w:sz="4" w:space="0" w:color="auto"/>
              <w:left w:val="single" w:sz="4" w:space="0" w:color="auto"/>
              <w:bottom w:val="single" w:sz="4" w:space="0" w:color="auto"/>
              <w:right w:val="single" w:sz="4" w:space="0" w:color="auto"/>
            </w:tcBorders>
            <w:shd w:val="clear" w:color="auto" w:fill="97A595"/>
            <w:hideMark/>
          </w:tcPr>
          <w:p w14:paraId="3175BC62"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Impact</w:t>
            </w:r>
          </w:p>
        </w:tc>
        <w:tc>
          <w:tcPr>
            <w:tcW w:w="1528" w:type="dxa"/>
            <w:tcBorders>
              <w:top w:val="single" w:sz="4" w:space="0" w:color="auto"/>
              <w:left w:val="single" w:sz="4" w:space="0" w:color="auto"/>
              <w:bottom w:val="single" w:sz="4" w:space="0" w:color="auto"/>
              <w:right w:val="single" w:sz="4" w:space="0" w:color="auto"/>
            </w:tcBorders>
            <w:shd w:val="clear" w:color="auto" w:fill="97A595"/>
            <w:hideMark/>
          </w:tcPr>
          <w:p w14:paraId="0CC8CD47"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Risk response</w:t>
            </w:r>
          </w:p>
        </w:tc>
        <w:tc>
          <w:tcPr>
            <w:tcW w:w="1944" w:type="dxa"/>
            <w:tcBorders>
              <w:top w:val="single" w:sz="4" w:space="0" w:color="auto"/>
              <w:left w:val="single" w:sz="4" w:space="0" w:color="auto"/>
              <w:bottom w:val="single" w:sz="4" w:space="0" w:color="auto"/>
              <w:right w:val="single" w:sz="4" w:space="0" w:color="auto"/>
            </w:tcBorders>
            <w:shd w:val="clear" w:color="auto" w:fill="97A595"/>
            <w:hideMark/>
          </w:tcPr>
          <w:p w14:paraId="0E77CFD3"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Residual risk</w:t>
            </w:r>
          </w:p>
        </w:tc>
        <w:tc>
          <w:tcPr>
            <w:tcW w:w="2924" w:type="dxa"/>
            <w:tcBorders>
              <w:top w:val="single" w:sz="4" w:space="0" w:color="auto"/>
              <w:left w:val="single" w:sz="4" w:space="0" w:color="auto"/>
              <w:bottom w:val="single" w:sz="4" w:space="0" w:color="auto"/>
              <w:right w:val="single" w:sz="4" w:space="0" w:color="auto"/>
            </w:tcBorders>
            <w:shd w:val="clear" w:color="auto" w:fill="97A595"/>
            <w:hideMark/>
          </w:tcPr>
          <w:p w14:paraId="256C7984" w14:textId="77777777" w:rsidR="00851D47" w:rsidRPr="00B50BB3"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B50BB3">
              <w:rPr>
                <w:rFonts w:ascii="Noto Sans" w:hAnsi="Noto Sans" w:cs="Noto Sans"/>
                <w:b/>
                <w:color w:val="000000"/>
                <w:sz w:val="18"/>
                <w:szCs w:val="18"/>
                <w:lang w:val="en-GB"/>
              </w:rPr>
              <w:t>Background to assessment</w:t>
            </w:r>
          </w:p>
        </w:tc>
      </w:tr>
      <w:tr w:rsidR="00851D47" w:rsidRPr="009C49C2" w14:paraId="0ED83398" w14:textId="77777777" w:rsidTr="00F762D7">
        <w:tc>
          <w:tcPr>
            <w:tcW w:w="1555" w:type="dxa"/>
            <w:tcBorders>
              <w:top w:val="single" w:sz="4" w:space="0" w:color="auto"/>
              <w:left w:val="single" w:sz="4" w:space="0" w:color="auto"/>
              <w:bottom w:val="single" w:sz="4" w:space="0" w:color="auto"/>
              <w:right w:val="single" w:sz="4" w:space="0" w:color="auto"/>
            </w:tcBorders>
          </w:tcPr>
          <w:p w14:paraId="0A4F53B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204C0DD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20BADF7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3C1AEE0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702B808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4FEE950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1D108F15" w14:textId="77777777" w:rsidTr="00F762D7">
        <w:tc>
          <w:tcPr>
            <w:tcW w:w="1555" w:type="dxa"/>
            <w:tcBorders>
              <w:top w:val="single" w:sz="4" w:space="0" w:color="auto"/>
              <w:left w:val="single" w:sz="4" w:space="0" w:color="auto"/>
              <w:bottom w:val="single" w:sz="4" w:space="0" w:color="auto"/>
              <w:right w:val="single" w:sz="4" w:space="0" w:color="auto"/>
            </w:tcBorders>
          </w:tcPr>
          <w:p w14:paraId="173FFFF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0D4BBE5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2DD0C82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3D9B1F6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0310F58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3CA83BF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5203A846" w14:textId="77777777" w:rsidTr="00F762D7">
        <w:tc>
          <w:tcPr>
            <w:tcW w:w="1555" w:type="dxa"/>
            <w:tcBorders>
              <w:top w:val="single" w:sz="4" w:space="0" w:color="auto"/>
              <w:left w:val="single" w:sz="4" w:space="0" w:color="auto"/>
              <w:bottom w:val="single" w:sz="4" w:space="0" w:color="auto"/>
              <w:right w:val="single" w:sz="4" w:space="0" w:color="auto"/>
            </w:tcBorders>
          </w:tcPr>
          <w:p w14:paraId="1F4DCCC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06B5D85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0938761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561721F4"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507E601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1B381829"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1CD0D0AC" w14:textId="77777777" w:rsidTr="00F762D7">
        <w:tc>
          <w:tcPr>
            <w:tcW w:w="1555" w:type="dxa"/>
            <w:tcBorders>
              <w:top w:val="single" w:sz="4" w:space="0" w:color="auto"/>
              <w:left w:val="single" w:sz="4" w:space="0" w:color="auto"/>
              <w:bottom w:val="single" w:sz="4" w:space="0" w:color="auto"/>
              <w:right w:val="single" w:sz="4" w:space="0" w:color="auto"/>
            </w:tcBorders>
          </w:tcPr>
          <w:p w14:paraId="715B54ED"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57D5FD9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476E362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6A1FC3F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5FADC01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27AFC2C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4D25312D" w14:textId="77777777" w:rsidTr="00F762D7">
        <w:tc>
          <w:tcPr>
            <w:tcW w:w="1555" w:type="dxa"/>
            <w:tcBorders>
              <w:top w:val="single" w:sz="4" w:space="0" w:color="auto"/>
              <w:left w:val="single" w:sz="4" w:space="0" w:color="auto"/>
              <w:bottom w:val="single" w:sz="4" w:space="0" w:color="auto"/>
              <w:right w:val="single" w:sz="4" w:space="0" w:color="auto"/>
            </w:tcBorders>
          </w:tcPr>
          <w:p w14:paraId="11E211AE"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28CD06B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5C8797C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58D5E24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2057118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4748C11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1B1D687A" w14:textId="77777777" w:rsidTr="00F762D7">
        <w:tc>
          <w:tcPr>
            <w:tcW w:w="1555" w:type="dxa"/>
            <w:tcBorders>
              <w:top w:val="single" w:sz="4" w:space="0" w:color="auto"/>
              <w:left w:val="single" w:sz="4" w:space="0" w:color="auto"/>
              <w:bottom w:val="single" w:sz="4" w:space="0" w:color="auto"/>
              <w:right w:val="single" w:sz="4" w:space="0" w:color="auto"/>
            </w:tcBorders>
          </w:tcPr>
          <w:p w14:paraId="26DC7BA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73810D4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38E886C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4B86B27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09787D75"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6E71B44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672AED58" w14:textId="77777777" w:rsidTr="00F762D7">
        <w:tc>
          <w:tcPr>
            <w:tcW w:w="1555" w:type="dxa"/>
            <w:tcBorders>
              <w:top w:val="single" w:sz="4" w:space="0" w:color="auto"/>
              <w:left w:val="single" w:sz="4" w:space="0" w:color="auto"/>
              <w:bottom w:val="single" w:sz="4" w:space="0" w:color="auto"/>
              <w:right w:val="single" w:sz="4" w:space="0" w:color="auto"/>
            </w:tcBorders>
          </w:tcPr>
          <w:p w14:paraId="523DC6C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2700359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4E156FAC"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2769F6B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2729E30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0CF67D2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52023D78" w14:textId="77777777" w:rsidTr="00F762D7">
        <w:tc>
          <w:tcPr>
            <w:tcW w:w="1555" w:type="dxa"/>
            <w:tcBorders>
              <w:top w:val="single" w:sz="4" w:space="0" w:color="auto"/>
              <w:left w:val="single" w:sz="4" w:space="0" w:color="auto"/>
              <w:bottom w:val="single" w:sz="4" w:space="0" w:color="auto"/>
              <w:right w:val="single" w:sz="4" w:space="0" w:color="auto"/>
            </w:tcBorders>
          </w:tcPr>
          <w:p w14:paraId="74E0361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5886EFA2"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4BA4026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6DFC059F"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7870A26A"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1413ADE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4E29F3D6" w14:textId="77777777" w:rsidTr="00F762D7">
        <w:tc>
          <w:tcPr>
            <w:tcW w:w="1555" w:type="dxa"/>
            <w:tcBorders>
              <w:top w:val="single" w:sz="4" w:space="0" w:color="auto"/>
              <w:left w:val="single" w:sz="4" w:space="0" w:color="auto"/>
              <w:bottom w:val="single" w:sz="4" w:space="0" w:color="auto"/>
              <w:right w:val="single" w:sz="4" w:space="0" w:color="auto"/>
            </w:tcBorders>
          </w:tcPr>
          <w:p w14:paraId="3AFD0F4B"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19407CE7"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5A04566D"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73746963"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53FBFA5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04BFD3B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r w:rsidR="00851D47" w:rsidRPr="009C49C2" w14:paraId="00F0B772" w14:textId="77777777" w:rsidTr="00F762D7">
        <w:tc>
          <w:tcPr>
            <w:tcW w:w="1555" w:type="dxa"/>
            <w:tcBorders>
              <w:top w:val="single" w:sz="4" w:space="0" w:color="auto"/>
              <w:left w:val="single" w:sz="4" w:space="0" w:color="auto"/>
              <w:bottom w:val="single" w:sz="4" w:space="0" w:color="auto"/>
              <w:right w:val="single" w:sz="4" w:space="0" w:color="auto"/>
            </w:tcBorders>
          </w:tcPr>
          <w:p w14:paraId="3A7C4936"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834" w:type="dxa"/>
            <w:tcBorders>
              <w:top w:val="single" w:sz="4" w:space="0" w:color="auto"/>
              <w:left w:val="single" w:sz="4" w:space="0" w:color="auto"/>
              <w:bottom w:val="single" w:sz="4" w:space="0" w:color="auto"/>
              <w:right w:val="single" w:sz="4" w:space="0" w:color="auto"/>
            </w:tcBorders>
          </w:tcPr>
          <w:p w14:paraId="4D1168BE"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951" w:type="dxa"/>
            <w:tcBorders>
              <w:top w:val="single" w:sz="4" w:space="0" w:color="auto"/>
              <w:left w:val="single" w:sz="4" w:space="0" w:color="auto"/>
              <w:bottom w:val="single" w:sz="4" w:space="0" w:color="auto"/>
              <w:right w:val="single" w:sz="4" w:space="0" w:color="auto"/>
            </w:tcBorders>
          </w:tcPr>
          <w:p w14:paraId="2FEC2FD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528" w:type="dxa"/>
            <w:tcBorders>
              <w:top w:val="single" w:sz="4" w:space="0" w:color="auto"/>
              <w:left w:val="single" w:sz="4" w:space="0" w:color="auto"/>
              <w:bottom w:val="single" w:sz="4" w:space="0" w:color="auto"/>
              <w:right w:val="single" w:sz="4" w:space="0" w:color="auto"/>
            </w:tcBorders>
          </w:tcPr>
          <w:p w14:paraId="12F43DC0"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1944" w:type="dxa"/>
            <w:tcBorders>
              <w:top w:val="single" w:sz="4" w:space="0" w:color="auto"/>
              <w:left w:val="single" w:sz="4" w:space="0" w:color="auto"/>
              <w:bottom w:val="single" w:sz="4" w:space="0" w:color="auto"/>
              <w:right w:val="single" w:sz="4" w:space="0" w:color="auto"/>
            </w:tcBorders>
          </w:tcPr>
          <w:p w14:paraId="3EF19EC8"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c>
          <w:tcPr>
            <w:tcW w:w="2924" w:type="dxa"/>
            <w:tcBorders>
              <w:top w:val="single" w:sz="4" w:space="0" w:color="auto"/>
              <w:left w:val="single" w:sz="4" w:space="0" w:color="auto"/>
              <w:bottom w:val="single" w:sz="4" w:space="0" w:color="auto"/>
              <w:right w:val="single" w:sz="4" w:space="0" w:color="auto"/>
            </w:tcBorders>
          </w:tcPr>
          <w:p w14:paraId="566522B1" w14:textId="77777777" w:rsidR="00851D47" w:rsidRPr="00B50BB3" w:rsidRDefault="00851D47" w:rsidP="00851D47">
            <w:pPr>
              <w:autoSpaceDE w:val="0"/>
              <w:autoSpaceDN w:val="0"/>
              <w:adjustRightInd w:val="0"/>
              <w:spacing w:after="0" w:line="240" w:lineRule="auto"/>
              <w:rPr>
                <w:rFonts w:ascii="Noto Sans" w:hAnsi="Noto Sans" w:cs="Noto Sans"/>
                <w:color w:val="000000"/>
                <w:sz w:val="18"/>
                <w:szCs w:val="18"/>
                <w:lang w:val="en-GB"/>
              </w:rPr>
            </w:pPr>
          </w:p>
        </w:tc>
      </w:tr>
    </w:tbl>
    <w:p w14:paraId="2DBA4D68" w14:textId="77777777" w:rsidR="00851D47" w:rsidRPr="009C49C2" w:rsidRDefault="00851D47" w:rsidP="00851D47">
      <w:pPr>
        <w:spacing w:after="80" w:line="240" w:lineRule="auto"/>
        <w:rPr>
          <w:rFonts w:ascii="Noto Sans" w:hAnsi="Noto Sans" w:cs="Noto Sans"/>
          <w:sz w:val="24"/>
          <w:szCs w:val="24"/>
          <w:lang w:val="en-GB"/>
        </w:rPr>
      </w:pPr>
    </w:p>
    <w:p w14:paraId="5F386313" w14:textId="1C287D3E" w:rsidR="00851D47" w:rsidRDefault="00851D47" w:rsidP="00851D47">
      <w:pPr>
        <w:spacing w:after="80" w:line="240" w:lineRule="auto"/>
        <w:rPr>
          <w:rFonts w:ascii="Noto Sans" w:hAnsi="Noto Sans" w:cs="Noto Sans"/>
          <w:i/>
          <w:sz w:val="24"/>
          <w:szCs w:val="24"/>
          <w:lang w:val="en-GB"/>
        </w:rPr>
      </w:pPr>
      <w:r w:rsidRPr="009C49C2">
        <w:rPr>
          <w:rFonts w:ascii="Noto Sans" w:hAnsi="Noto Sans" w:cs="Noto Sans"/>
          <w:i/>
          <w:sz w:val="24"/>
          <w:szCs w:val="24"/>
          <w:highlight w:val="yellow"/>
          <w:lang w:val="en-GB"/>
        </w:rPr>
        <w:t>Example: Please delete th</w:t>
      </w:r>
      <w:r w:rsidR="00770C2A" w:rsidRPr="009C49C2">
        <w:rPr>
          <w:rFonts w:ascii="Noto Sans" w:hAnsi="Noto Sans" w:cs="Noto Sans"/>
          <w:i/>
          <w:sz w:val="24"/>
          <w:szCs w:val="24"/>
          <w:highlight w:val="yellow"/>
          <w:lang w:val="en-GB"/>
        </w:rPr>
        <w:t>e</w:t>
      </w:r>
      <w:r w:rsidRPr="009C49C2">
        <w:rPr>
          <w:rFonts w:ascii="Noto Sans" w:hAnsi="Noto Sans" w:cs="Noto Sans"/>
          <w:i/>
          <w:sz w:val="24"/>
          <w:szCs w:val="24"/>
          <w:highlight w:val="yellow"/>
          <w:lang w:val="en-GB"/>
        </w:rPr>
        <w:t xml:space="preserve"> section</w:t>
      </w:r>
      <w:r w:rsidR="00770C2A" w:rsidRPr="009C49C2">
        <w:rPr>
          <w:rFonts w:ascii="Noto Sans" w:hAnsi="Noto Sans" w:cs="Noto Sans"/>
          <w:i/>
          <w:sz w:val="24"/>
          <w:szCs w:val="24"/>
          <w:highlight w:val="yellow"/>
          <w:lang w:val="en-GB"/>
        </w:rPr>
        <w:t xml:space="preserve"> below</w:t>
      </w:r>
      <w:r w:rsidRPr="009C49C2">
        <w:rPr>
          <w:rFonts w:ascii="Noto Sans" w:hAnsi="Noto Sans" w:cs="Noto Sans"/>
          <w:i/>
          <w:sz w:val="24"/>
          <w:szCs w:val="24"/>
          <w:highlight w:val="yellow"/>
          <w:lang w:val="en-GB"/>
        </w:rPr>
        <w:t xml:space="preserve"> before finalising the document</w:t>
      </w:r>
      <w:r w:rsidR="00770C2A" w:rsidRPr="009C49C2">
        <w:rPr>
          <w:rFonts w:ascii="Noto Sans" w:hAnsi="Noto Sans" w:cs="Noto Sans"/>
          <w:i/>
          <w:sz w:val="24"/>
          <w:szCs w:val="24"/>
          <w:lang w:val="en-GB"/>
        </w:rPr>
        <w:t>.</w:t>
      </w:r>
      <w:r w:rsidRPr="009C49C2">
        <w:rPr>
          <w:rFonts w:ascii="Noto Sans" w:hAnsi="Noto Sans" w:cs="Noto Sans"/>
          <w:i/>
          <w:sz w:val="24"/>
          <w:szCs w:val="24"/>
          <w:lang w:val="en-GB"/>
        </w:rPr>
        <w:t xml:space="preserve"> </w:t>
      </w:r>
    </w:p>
    <w:p w14:paraId="58597024" w14:textId="7A2FECE4" w:rsidR="00B50BB3" w:rsidRDefault="00B50BB3" w:rsidP="00851D47">
      <w:pPr>
        <w:spacing w:after="80" w:line="240" w:lineRule="auto"/>
        <w:rPr>
          <w:rFonts w:ascii="Noto Sans" w:hAnsi="Noto Sans" w:cs="Noto Sans"/>
          <w:i/>
          <w:sz w:val="24"/>
          <w:szCs w:val="24"/>
          <w:lang w:val="en-GB"/>
        </w:rPr>
      </w:pPr>
    </w:p>
    <w:p w14:paraId="1B9FE28A" w14:textId="77777777" w:rsidR="00B50BB3" w:rsidRPr="009C49C2" w:rsidRDefault="00B50BB3" w:rsidP="00851D47">
      <w:pPr>
        <w:spacing w:after="80" w:line="240" w:lineRule="auto"/>
        <w:rPr>
          <w:rFonts w:ascii="Noto Sans" w:hAnsi="Noto Sans" w:cs="Noto Sans"/>
          <w:i/>
          <w:sz w:val="24"/>
          <w:szCs w:val="24"/>
          <w:lang w:val="en-GB"/>
        </w:rPr>
      </w:pPr>
    </w:p>
    <w:p w14:paraId="113DC282" w14:textId="77777777" w:rsidR="00851D47" w:rsidRPr="009C49C2" w:rsidRDefault="00851D47" w:rsidP="00793C54">
      <w:pPr>
        <w:shd w:val="clear" w:color="auto" w:fill="E5E5E5"/>
        <w:spacing w:before="120" w:after="120" w:line="240" w:lineRule="auto"/>
        <w:rPr>
          <w:rFonts w:ascii="Noto Sans" w:eastAsiaTheme="majorEastAsia" w:hAnsi="Noto Sans" w:cs="Noto Sans"/>
          <w:b/>
          <w:caps/>
          <w:color w:val="9B0D2B"/>
          <w:sz w:val="24"/>
          <w:szCs w:val="24"/>
          <w:lang w:val="en-GB"/>
        </w:rPr>
      </w:pPr>
      <w:r w:rsidRPr="009C49C2">
        <w:rPr>
          <w:rFonts w:ascii="Noto Sans" w:eastAsiaTheme="majorEastAsia" w:hAnsi="Noto Sans" w:cs="Noto Sans"/>
          <w:b/>
          <w:caps/>
          <w:color w:val="9B0D2B"/>
          <w:sz w:val="24"/>
          <w:szCs w:val="24"/>
          <w:lang w:val="en-GB"/>
        </w:rPr>
        <w:lastRenderedPageBreak/>
        <w:t>Contextual risks</w:t>
      </w:r>
    </w:p>
    <w:p w14:paraId="095BB4EB" w14:textId="77777777" w:rsidR="00851D47" w:rsidRPr="009C49C2" w:rsidRDefault="00851D47" w:rsidP="00793C54">
      <w:pPr>
        <w:spacing w:after="80"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This category covers the range of potential adverse outcomes that may arise in a particular context, including the risk of harm beyond the immediate context or the country’s borders. </w:t>
      </w:r>
    </w:p>
    <w:p w14:paraId="737A5261" w14:textId="64C67362" w:rsidR="00851D47" w:rsidRPr="009C49C2" w:rsidRDefault="00851D47" w:rsidP="00B50BB3">
      <w:pPr>
        <w:spacing w:before="240" w:after="80" w:line="240" w:lineRule="auto"/>
        <w:jc w:val="both"/>
        <w:rPr>
          <w:rFonts w:ascii="Noto Sans" w:hAnsi="Noto Sans" w:cs="Noto Sans"/>
          <w:sz w:val="24"/>
          <w:szCs w:val="24"/>
          <w:lang w:val="en-GB"/>
        </w:rPr>
      </w:pPr>
      <w:r w:rsidRPr="009C49C2">
        <w:rPr>
          <w:rFonts w:ascii="Noto Sans" w:hAnsi="Noto Sans" w:cs="Noto Sans"/>
          <w:sz w:val="24"/>
          <w:szCs w:val="24"/>
          <w:lang w:val="en-GB"/>
        </w:rPr>
        <w:t>Individual contextual risks are defined by the particular setting, but some common types of risk outcome</w:t>
      </w:r>
      <w:r w:rsidR="009C49C2" w:rsidRPr="009C49C2">
        <w:rPr>
          <w:rFonts w:ascii="Noto Sans" w:hAnsi="Noto Sans" w:cs="Noto Sans"/>
          <w:sz w:val="24"/>
          <w:szCs w:val="24"/>
          <w:lang w:val="en-GB"/>
        </w:rPr>
        <w:t>s</w:t>
      </w:r>
      <w:r w:rsidRPr="009C49C2">
        <w:rPr>
          <w:rFonts w:ascii="Noto Sans" w:hAnsi="Noto Sans" w:cs="Noto Sans"/>
          <w:sz w:val="24"/>
          <w:szCs w:val="24"/>
          <w:lang w:val="en-GB"/>
        </w:rPr>
        <w:t xml:space="preserve"> are l</w:t>
      </w:r>
      <w:r w:rsidR="008B2D5C" w:rsidRPr="009C49C2">
        <w:rPr>
          <w:rFonts w:ascii="Noto Sans" w:hAnsi="Noto Sans" w:cs="Noto Sans"/>
          <w:sz w:val="24"/>
          <w:szCs w:val="24"/>
          <w:lang w:val="en-GB"/>
        </w:rPr>
        <w:t>i</w:t>
      </w:r>
      <w:r w:rsidRPr="009C49C2">
        <w:rPr>
          <w:rFonts w:ascii="Noto Sans" w:hAnsi="Noto Sans" w:cs="Noto Sans"/>
          <w:sz w:val="24"/>
          <w:szCs w:val="24"/>
          <w:lang w:val="en-GB"/>
        </w:rPr>
        <w:t xml:space="preserve">sted below. The risk factors that underlie these various categories depend on the context, but they may include governance weaknesses (e.g. the weak effective public financial management or law enforcement); competition for resources; natural hazards; and pre-existing socio-political tensions. </w:t>
      </w:r>
    </w:p>
    <w:p w14:paraId="2DF296E0" w14:textId="77777777" w:rsidR="00851D47" w:rsidRPr="009C49C2" w:rsidRDefault="00851D47" w:rsidP="00B50BB3">
      <w:pPr>
        <w:spacing w:before="240" w:after="80"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Here, many of the risk outcomes are themselves risk factors for other types of risk, </w:t>
      </w:r>
      <w:proofErr w:type="gramStart"/>
      <w:r w:rsidRPr="009C49C2">
        <w:rPr>
          <w:rFonts w:ascii="Noto Sans" w:hAnsi="Noto Sans" w:cs="Noto Sans"/>
          <w:sz w:val="24"/>
          <w:szCs w:val="24"/>
          <w:lang w:val="en-GB"/>
        </w:rPr>
        <w:t>e.g.</w:t>
      </w:r>
      <w:proofErr w:type="gramEnd"/>
      <w:r w:rsidRPr="009C49C2">
        <w:rPr>
          <w:rFonts w:ascii="Noto Sans" w:hAnsi="Noto Sans" w:cs="Noto Sans"/>
          <w:sz w:val="24"/>
          <w:szCs w:val="24"/>
          <w:lang w:val="en-GB"/>
        </w:rPr>
        <w:t xml:space="preserve"> an economic crisis may trigger conflict and a humanitarian crisis. The complex interplay among different factors makes contextual risk analysis difficult and highly dependent on good local 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132"/>
        <w:gridCol w:w="815"/>
        <w:gridCol w:w="1549"/>
        <w:gridCol w:w="1924"/>
        <w:gridCol w:w="2723"/>
      </w:tblGrid>
      <w:tr w:rsidR="00851D47" w:rsidRPr="009C49C2" w14:paraId="5DFF8501" w14:textId="77777777" w:rsidTr="00793C54">
        <w:tc>
          <w:tcPr>
            <w:tcW w:w="1809" w:type="dxa"/>
            <w:tcBorders>
              <w:top w:val="single" w:sz="4" w:space="0" w:color="auto"/>
              <w:left w:val="single" w:sz="4" w:space="0" w:color="auto"/>
              <w:bottom w:val="single" w:sz="4" w:space="0" w:color="auto"/>
              <w:right w:val="single" w:sz="4" w:space="0" w:color="auto"/>
            </w:tcBorders>
            <w:shd w:val="clear" w:color="auto" w:fill="97A595"/>
            <w:hideMark/>
          </w:tcPr>
          <w:p w14:paraId="4E92CD44"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Risk Factor</w:t>
            </w:r>
          </w:p>
        </w:tc>
        <w:tc>
          <w:tcPr>
            <w:tcW w:w="1161" w:type="dxa"/>
            <w:tcBorders>
              <w:top w:val="single" w:sz="4" w:space="0" w:color="auto"/>
              <w:left w:val="single" w:sz="4" w:space="0" w:color="auto"/>
              <w:bottom w:val="single" w:sz="4" w:space="0" w:color="auto"/>
              <w:right w:val="single" w:sz="4" w:space="0" w:color="auto"/>
            </w:tcBorders>
            <w:shd w:val="clear" w:color="auto" w:fill="97A595"/>
            <w:hideMark/>
          </w:tcPr>
          <w:p w14:paraId="70D984E3"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Likelihood</w:t>
            </w:r>
          </w:p>
        </w:tc>
        <w:tc>
          <w:tcPr>
            <w:tcW w:w="849" w:type="dxa"/>
            <w:tcBorders>
              <w:top w:val="single" w:sz="4" w:space="0" w:color="auto"/>
              <w:left w:val="single" w:sz="4" w:space="0" w:color="auto"/>
              <w:bottom w:val="single" w:sz="4" w:space="0" w:color="auto"/>
              <w:right w:val="single" w:sz="4" w:space="0" w:color="auto"/>
            </w:tcBorders>
            <w:shd w:val="clear" w:color="auto" w:fill="97A595"/>
            <w:hideMark/>
          </w:tcPr>
          <w:p w14:paraId="63CBFAD7"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Impact</w:t>
            </w:r>
          </w:p>
        </w:tc>
        <w:tc>
          <w:tcPr>
            <w:tcW w:w="2243" w:type="dxa"/>
            <w:tcBorders>
              <w:top w:val="single" w:sz="4" w:space="0" w:color="auto"/>
              <w:left w:val="single" w:sz="4" w:space="0" w:color="auto"/>
              <w:bottom w:val="single" w:sz="4" w:space="0" w:color="auto"/>
              <w:right w:val="single" w:sz="4" w:space="0" w:color="auto"/>
            </w:tcBorders>
            <w:shd w:val="clear" w:color="auto" w:fill="97A595"/>
            <w:hideMark/>
          </w:tcPr>
          <w:p w14:paraId="2362E60B"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Risk response if applicable</w:t>
            </w:r>
          </w:p>
        </w:tc>
        <w:tc>
          <w:tcPr>
            <w:tcW w:w="3260" w:type="dxa"/>
            <w:tcBorders>
              <w:top w:val="single" w:sz="4" w:space="0" w:color="auto"/>
              <w:left w:val="single" w:sz="4" w:space="0" w:color="auto"/>
              <w:bottom w:val="single" w:sz="4" w:space="0" w:color="auto"/>
              <w:right w:val="single" w:sz="4" w:space="0" w:color="auto"/>
            </w:tcBorders>
            <w:shd w:val="clear" w:color="auto" w:fill="97A595"/>
            <w:hideMark/>
          </w:tcPr>
          <w:p w14:paraId="242008F8"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Residual risk</w:t>
            </w:r>
          </w:p>
        </w:tc>
        <w:tc>
          <w:tcPr>
            <w:tcW w:w="4990" w:type="dxa"/>
            <w:tcBorders>
              <w:top w:val="single" w:sz="4" w:space="0" w:color="auto"/>
              <w:left w:val="single" w:sz="4" w:space="0" w:color="auto"/>
              <w:bottom w:val="single" w:sz="4" w:space="0" w:color="auto"/>
              <w:right w:val="single" w:sz="4" w:space="0" w:color="auto"/>
            </w:tcBorders>
            <w:shd w:val="clear" w:color="auto" w:fill="97A595"/>
            <w:hideMark/>
          </w:tcPr>
          <w:p w14:paraId="7C04C4D1"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Background to assessment</w:t>
            </w:r>
          </w:p>
        </w:tc>
      </w:tr>
      <w:tr w:rsidR="00851D47" w:rsidRPr="000839BA" w14:paraId="66D06FA8" w14:textId="77777777" w:rsidTr="00371A69">
        <w:tc>
          <w:tcPr>
            <w:tcW w:w="1809" w:type="dxa"/>
            <w:tcBorders>
              <w:top w:val="single" w:sz="4" w:space="0" w:color="auto"/>
              <w:left w:val="single" w:sz="4" w:space="0" w:color="auto"/>
              <w:bottom w:val="single" w:sz="4" w:space="0" w:color="auto"/>
              <w:right w:val="single" w:sz="4" w:space="0" w:color="auto"/>
            </w:tcBorders>
            <w:hideMark/>
          </w:tcPr>
          <w:p w14:paraId="2E9E539A"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Armed conflict spreads to larger parts of the country</w:t>
            </w:r>
          </w:p>
        </w:tc>
        <w:tc>
          <w:tcPr>
            <w:tcW w:w="1161" w:type="dxa"/>
            <w:tcBorders>
              <w:top w:val="single" w:sz="4" w:space="0" w:color="auto"/>
              <w:left w:val="single" w:sz="4" w:space="0" w:color="auto"/>
              <w:bottom w:val="single" w:sz="4" w:space="0" w:color="auto"/>
              <w:right w:val="single" w:sz="4" w:space="0" w:color="auto"/>
            </w:tcBorders>
            <w:hideMark/>
          </w:tcPr>
          <w:p w14:paraId="0AFA056D"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Likely</w:t>
            </w:r>
          </w:p>
        </w:tc>
        <w:tc>
          <w:tcPr>
            <w:tcW w:w="849" w:type="dxa"/>
            <w:tcBorders>
              <w:top w:val="single" w:sz="4" w:space="0" w:color="auto"/>
              <w:left w:val="single" w:sz="4" w:space="0" w:color="auto"/>
              <w:bottom w:val="single" w:sz="4" w:space="0" w:color="auto"/>
              <w:right w:val="single" w:sz="4" w:space="0" w:color="auto"/>
            </w:tcBorders>
            <w:hideMark/>
          </w:tcPr>
          <w:p w14:paraId="34AEEF34"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Major</w:t>
            </w:r>
          </w:p>
        </w:tc>
        <w:tc>
          <w:tcPr>
            <w:tcW w:w="2243" w:type="dxa"/>
            <w:tcBorders>
              <w:top w:val="single" w:sz="4" w:space="0" w:color="auto"/>
              <w:left w:val="single" w:sz="4" w:space="0" w:color="auto"/>
              <w:bottom w:val="single" w:sz="4" w:space="0" w:color="auto"/>
              <w:right w:val="single" w:sz="4" w:space="0" w:color="auto"/>
            </w:tcBorders>
          </w:tcPr>
          <w:p w14:paraId="361B781B" w14:textId="1C57D125" w:rsidR="00851D47" w:rsidRPr="00B50BB3" w:rsidRDefault="000839BA" w:rsidP="00851D47">
            <w:pPr>
              <w:autoSpaceDE w:val="0"/>
              <w:autoSpaceDN w:val="0"/>
              <w:adjustRightInd w:val="0"/>
              <w:spacing w:after="0" w:line="240" w:lineRule="auto"/>
              <w:jc w:val="both"/>
              <w:rPr>
                <w:rFonts w:ascii="Noto Sans" w:hAnsi="Noto Sans" w:cs="Noto Sans"/>
                <w:color w:val="000000"/>
                <w:sz w:val="18"/>
                <w:szCs w:val="18"/>
                <w:lang w:val="en-GB"/>
              </w:rPr>
            </w:pPr>
            <w:r>
              <w:rPr>
                <w:rFonts w:ascii="Noto Sans" w:hAnsi="Noto Sans" w:cs="Noto Sans"/>
                <w:color w:val="000000"/>
                <w:sz w:val="18"/>
                <w:szCs w:val="18"/>
                <w:lang w:val="en-GB"/>
              </w:rPr>
              <w:t>Project</w:t>
            </w:r>
            <w:r w:rsidRPr="00B50BB3">
              <w:rPr>
                <w:rFonts w:ascii="Noto Sans" w:hAnsi="Noto Sans" w:cs="Noto Sans"/>
                <w:color w:val="000000"/>
                <w:sz w:val="18"/>
                <w:szCs w:val="18"/>
                <w:lang w:val="en-GB"/>
              </w:rPr>
              <w:t xml:space="preserve"> </w:t>
            </w:r>
            <w:r w:rsidR="00851D47" w:rsidRPr="00B50BB3">
              <w:rPr>
                <w:rFonts w:ascii="Noto Sans" w:hAnsi="Noto Sans" w:cs="Noto Sans"/>
                <w:color w:val="000000"/>
                <w:sz w:val="18"/>
                <w:szCs w:val="18"/>
                <w:lang w:val="en-GB"/>
              </w:rPr>
              <w:t>activities to be limited to safe areas where feasible; some activities to be suspended.</w:t>
            </w:r>
          </w:p>
          <w:p w14:paraId="56DB71F5"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p>
          <w:p w14:paraId="3BAFAF27"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Situation to be monitored closely</w:t>
            </w:r>
          </w:p>
        </w:tc>
        <w:tc>
          <w:tcPr>
            <w:tcW w:w="3260" w:type="dxa"/>
            <w:tcBorders>
              <w:top w:val="single" w:sz="4" w:space="0" w:color="auto"/>
              <w:left w:val="single" w:sz="4" w:space="0" w:color="auto"/>
              <w:bottom w:val="single" w:sz="4" w:space="0" w:color="auto"/>
              <w:right w:val="single" w:sz="4" w:space="0" w:color="auto"/>
            </w:tcBorders>
            <w:hideMark/>
          </w:tcPr>
          <w:p w14:paraId="5DDF3B44" w14:textId="1AD7D6E1"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highlight w:val="yellow"/>
                <w:lang w:val="en-GB"/>
              </w:rPr>
            </w:pPr>
            <w:r w:rsidRPr="00B50BB3">
              <w:rPr>
                <w:rFonts w:ascii="Noto Sans" w:hAnsi="Noto Sans" w:cs="Noto Sans"/>
                <w:color w:val="000000"/>
                <w:sz w:val="18"/>
                <w:szCs w:val="18"/>
                <w:lang w:val="en-GB"/>
              </w:rPr>
              <w:t xml:space="preserve">Short-term risks are reduced substantially due to selection of safe areas. However </w:t>
            </w:r>
            <w:r w:rsidR="009C49C2" w:rsidRPr="00B50BB3">
              <w:rPr>
                <w:rFonts w:ascii="Noto Sans" w:hAnsi="Noto Sans" w:cs="Noto Sans"/>
                <w:color w:val="000000"/>
                <w:sz w:val="18"/>
                <w:szCs w:val="18"/>
                <w:lang w:val="en-GB"/>
              </w:rPr>
              <w:t xml:space="preserve">a </w:t>
            </w:r>
            <w:r w:rsidRPr="00B50BB3">
              <w:rPr>
                <w:rFonts w:ascii="Noto Sans" w:hAnsi="Noto Sans" w:cs="Noto Sans"/>
                <w:color w:val="000000"/>
                <w:sz w:val="18"/>
                <w:szCs w:val="18"/>
                <w:lang w:val="en-GB"/>
              </w:rPr>
              <w:t>general risk prevail</w:t>
            </w:r>
            <w:r w:rsidR="009C49C2" w:rsidRPr="00B50BB3">
              <w:rPr>
                <w:rFonts w:ascii="Noto Sans" w:hAnsi="Noto Sans" w:cs="Noto Sans"/>
                <w:color w:val="000000"/>
                <w:sz w:val="18"/>
                <w:szCs w:val="18"/>
                <w:lang w:val="en-GB"/>
              </w:rPr>
              <w:t>s</w:t>
            </w:r>
            <w:r w:rsidRPr="00B50BB3">
              <w:rPr>
                <w:rFonts w:ascii="Noto Sans" w:hAnsi="Noto Sans" w:cs="Noto Sans"/>
                <w:color w:val="000000"/>
                <w:sz w:val="18"/>
                <w:szCs w:val="18"/>
                <w:lang w:val="en-GB"/>
              </w:rPr>
              <w:t xml:space="preserve">, but can be acted upon due to initiation of close monitoring </w:t>
            </w:r>
          </w:p>
        </w:tc>
        <w:tc>
          <w:tcPr>
            <w:tcW w:w="4990" w:type="dxa"/>
            <w:tcBorders>
              <w:top w:val="single" w:sz="4" w:space="0" w:color="auto"/>
              <w:left w:val="single" w:sz="4" w:space="0" w:color="auto"/>
              <w:bottom w:val="single" w:sz="4" w:space="0" w:color="auto"/>
              <w:right w:val="single" w:sz="4" w:space="0" w:color="auto"/>
            </w:tcBorders>
            <w:hideMark/>
          </w:tcPr>
          <w:p w14:paraId="57F18036" w14:textId="6FFF3056"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Development of security situation is negative at present, with potentially serious implications for </w:t>
            </w:r>
            <w:r w:rsidR="000839BA">
              <w:rPr>
                <w:rFonts w:ascii="Noto Sans" w:hAnsi="Noto Sans" w:cs="Noto Sans"/>
                <w:color w:val="000000"/>
                <w:sz w:val="18"/>
                <w:szCs w:val="18"/>
                <w:lang w:val="en-GB"/>
              </w:rPr>
              <w:t>project</w:t>
            </w:r>
            <w:r w:rsidR="000839BA" w:rsidRPr="00B50BB3">
              <w:rPr>
                <w:rFonts w:ascii="Noto Sans" w:hAnsi="Noto Sans" w:cs="Noto Sans"/>
                <w:color w:val="000000"/>
                <w:sz w:val="18"/>
                <w:szCs w:val="18"/>
                <w:lang w:val="en-GB"/>
              </w:rPr>
              <w:t xml:space="preserve"> </w:t>
            </w:r>
            <w:r w:rsidRPr="00B50BB3">
              <w:rPr>
                <w:rFonts w:ascii="Noto Sans" w:hAnsi="Noto Sans" w:cs="Noto Sans"/>
                <w:color w:val="000000"/>
                <w:sz w:val="18"/>
                <w:szCs w:val="18"/>
                <w:lang w:val="en-GB"/>
              </w:rPr>
              <w:t xml:space="preserve">activities. No preventive measures are available to DK. </w:t>
            </w:r>
          </w:p>
        </w:tc>
      </w:tr>
      <w:tr w:rsidR="00851D47" w:rsidRPr="00F762D7" w14:paraId="377B8AAE" w14:textId="77777777" w:rsidTr="00371A69">
        <w:tc>
          <w:tcPr>
            <w:tcW w:w="1809" w:type="dxa"/>
            <w:tcBorders>
              <w:top w:val="single" w:sz="4" w:space="0" w:color="auto"/>
              <w:left w:val="single" w:sz="4" w:space="0" w:color="auto"/>
              <w:bottom w:val="single" w:sz="4" w:space="0" w:color="auto"/>
              <w:right w:val="single" w:sz="4" w:space="0" w:color="auto"/>
            </w:tcBorders>
            <w:hideMark/>
          </w:tcPr>
          <w:p w14:paraId="65586A47"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Wide-spread loss of trust in authorities and democratic institutions due to corruption and misuse becoming more frequent and visible following the decentralisation reform.</w:t>
            </w:r>
          </w:p>
        </w:tc>
        <w:tc>
          <w:tcPr>
            <w:tcW w:w="1161" w:type="dxa"/>
            <w:tcBorders>
              <w:top w:val="single" w:sz="4" w:space="0" w:color="auto"/>
              <w:left w:val="single" w:sz="4" w:space="0" w:color="auto"/>
              <w:bottom w:val="single" w:sz="4" w:space="0" w:color="auto"/>
              <w:right w:val="single" w:sz="4" w:space="0" w:color="auto"/>
            </w:tcBorders>
            <w:hideMark/>
          </w:tcPr>
          <w:p w14:paraId="0BF2155D"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Likely</w:t>
            </w:r>
          </w:p>
        </w:tc>
        <w:tc>
          <w:tcPr>
            <w:tcW w:w="849" w:type="dxa"/>
            <w:tcBorders>
              <w:top w:val="single" w:sz="4" w:space="0" w:color="auto"/>
              <w:left w:val="single" w:sz="4" w:space="0" w:color="auto"/>
              <w:bottom w:val="single" w:sz="4" w:space="0" w:color="auto"/>
              <w:right w:val="single" w:sz="4" w:space="0" w:color="auto"/>
            </w:tcBorders>
            <w:hideMark/>
          </w:tcPr>
          <w:p w14:paraId="612A5604"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Major</w:t>
            </w:r>
          </w:p>
        </w:tc>
        <w:tc>
          <w:tcPr>
            <w:tcW w:w="2243" w:type="dxa"/>
            <w:tcBorders>
              <w:top w:val="single" w:sz="4" w:space="0" w:color="auto"/>
              <w:left w:val="single" w:sz="4" w:space="0" w:color="auto"/>
              <w:bottom w:val="single" w:sz="4" w:space="0" w:color="auto"/>
              <w:right w:val="single" w:sz="4" w:space="0" w:color="auto"/>
            </w:tcBorders>
          </w:tcPr>
          <w:p w14:paraId="3032D15D"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Dialogue with relevant central authorities on preventive measures (training of LG councillors and staff; intensified supervision, audit).</w:t>
            </w:r>
          </w:p>
          <w:p w14:paraId="2896A491"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p>
          <w:p w14:paraId="363428F7"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p>
        </w:tc>
        <w:tc>
          <w:tcPr>
            <w:tcW w:w="3260" w:type="dxa"/>
            <w:tcBorders>
              <w:top w:val="single" w:sz="4" w:space="0" w:color="auto"/>
              <w:left w:val="single" w:sz="4" w:space="0" w:color="auto"/>
              <w:bottom w:val="single" w:sz="4" w:space="0" w:color="auto"/>
              <w:right w:val="single" w:sz="4" w:space="0" w:color="auto"/>
            </w:tcBorders>
          </w:tcPr>
          <w:p w14:paraId="0A1460DA"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Residual risk not reduced. However, the actions taken could gradually increase trust.</w:t>
            </w:r>
          </w:p>
          <w:p w14:paraId="4AD44BDC"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highlight w:val="yellow"/>
                <w:lang w:val="en-GB"/>
              </w:rPr>
            </w:pPr>
          </w:p>
        </w:tc>
        <w:tc>
          <w:tcPr>
            <w:tcW w:w="4990" w:type="dxa"/>
            <w:tcBorders>
              <w:top w:val="single" w:sz="4" w:space="0" w:color="auto"/>
              <w:left w:val="single" w:sz="4" w:space="0" w:color="auto"/>
              <w:bottom w:val="single" w:sz="4" w:space="0" w:color="auto"/>
              <w:right w:val="single" w:sz="4" w:space="0" w:color="auto"/>
            </w:tcBorders>
            <w:hideMark/>
          </w:tcPr>
          <w:p w14:paraId="4D6F0765"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Decentralisation increases availability of public funds to District authorities, with central controls probably remaining weak. </w:t>
            </w:r>
          </w:p>
        </w:tc>
      </w:tr>
    </w:tbl>
    <w:p w14:paraId="426BE896" w14:textId="77777777" w:rsidR="00B50BB3" w:rsidRDefault="00B50BB3" w:rsidP="00B50BB3">
      <w:pPr>
        <w:spacing w:before="120" w:after="120" w:line="240" w:lineRule="auto"/>
        <w:rPr>
          <w:rFonts w:ascii="Noto Sans" w:eastAsiaTheme="majorEastAsia" w:hAnsi="Noto Sans" w:cs="Noto Sans"/>
          <w:b/>
          <w:caps/>
          <w:color w:val="9B0D2B"/>
          <w:sz w:val="24"/>
          <w:szCs w:val="24"/>
          <w:lang w:val="en-GB"/>
        </w:rPr>
      </w:pPr>
    </w:p>
    <w:p w14:paraId="1983F8A6" w14:textId="5FC27769" w:rsidR="00851D47" w:rsidRPr="009C49C2" w:rsidRDefault="00851D47" w:rsidP="00793C54">
      <w:pPr>
        <w:shd w:val="clear" w:color="auto" w:fill="E5E5E5"/>
        <w:spacing w:before="120" w:after="120" w:line="240" w:lineRule="auto"/>
        <w:rPr>
          <w:rFonts w:ascii="Noto Sans" w:eastAsiaTheme="majorEastAsia" w:hAnsi="Noto Sans" w:cs="Noto Sans"/>
          <w:b/>
          <w:caps/>
          <w:color w:val="9B0D2B"/>
          <w:sz w:val="24"/>
          <w:szCs w:val="24"/>
          <w:lang w:val="en-GB"/>
        </w:rPr>
      </w:pPr>
      <w:r w:rsidRPr="009C49C2">
        <w:rPr>
          <w:rFonts w:ascii="Noto Sans" w:eastAsiaTheme="majorEastAsia" w:hAnsi="Noto Sans" w:cs="Noto Sans"/>
          <w:b/>
          <w:caps/>
          <w:color w:val="9B0D2B"/>
          <w:sz w:val="24"/>
          <w:szCs w:val="24"/>
          <w:lang w:val="en-GB"/>
        </w:rPr>
        <w:t>Programmatic risks</w:t>
      </w:r>
    </w:p>
    <w:p w14:paraId="76E6BE0F" w14:textId="14DB1B79" w:rsidR="00851D47" w:rsidRPr="009C49C2" w:rsidRDefault="00851D47" w:rsidP="00851D47">
      <w:pPr>
        <w:spacing w:after="0"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The term “programmatic risk” includes two kinds of risk: (1) the potential for an </w:t>
      </w:r>
      <w:r w:rsidR="00742445">
        <w:rPr>
          <w:rFonts w:ascii="Noto Sans" w:hAnsi="Noto Sans" w:cs="Noto Sans"/>
          <w:sz w:val="24"/>
          <w:szCs w:val="24"/>
          <w:lang w:val="en-GB"/>
        </w:rPr>
        <w:t xml:space="preserve">SSC </w:t>
      </w:r>
      <w:r w:rsidR="009C49C2" w:rsidRPr="009C49C2">
        <w:rPr>
          <w:rFonts w:ascii="Noto Sans" w:hAnsi="Noto Sans" w:cs="Noto Sans"/>
          <w:sz w:val="24"/>
          <w:szCs w:val="24"/>
          <w:lang w:val="en-GB"/>
        </w:rPr>
        <w:t>project</w:t>
      </w:r>
      <w:r w:rsidR="00742445">
        <w:rPr>
          <w:rFonts w:ascii="Noto Sans" w:hAnsi="Noto Sans" w:cs="Noto Sans"/>
          <w:sz w:val="24"/>
          <w:szCs w:val="24"/>
          <w:lang w:val="en-GB"/>
        </w:rPr>
        <w:t>/FP</w:t>
      </w:r>
      <w:r w:rsidRPr="009C49C2">
        <w:rPr>
          <w:rFonts w:ascii="Noto Sans" w:hAnsi="Noto Sans" w:cs="Noto Sans"/>
          <w:sz w:val="24"/>
          <w:szCs w:val="24"/>
          <w:lang w:val="en-GB"/>
        </w:rPr>
        <w:t xml:space="preserve"> to fail to achieve its objectives; and (2) the potential for the </w:t>
      </w:r>
      <w:r w:rsidR="00742445">
        <w:rPr>
          <w:rFonts w:ascii="Noto Sans" w:hAnsi="Noto Sans" w:cs="Noto Sans"/>
          <w:sz w:val="24"/>
          <w:szCs w:val="24"/>
          <w:lang w:val="en-GB"/>
        </w:rPr>
        <w:t xml:space="preserve">SSC </w:t>
      </w:r>
      <w:r w:rsidR="009C49C2" w:rsidRPr="009C49C2">
        <w:rPr>
          <w:rFonts w:ascii="Noto Sans" w:hAnsi="Noto Sans" w:cs="Noto Sans"/>
          <w:sz w:val="24"/>
          <w:szCs w:val="24"/>
          <w:lang w:val="en-GB"/>
        </w:rPr>
        <w:t>project</w:t>
      </w:r>
      <w:r w:rsidR="00742445">
        <w:rPr>
          <w:rFonts w:ascii="Noto Sans" w:hAnsi="Noto Sans" w:cs="Noto Sans"/>
          <w:sz w:val="24"/>
          <w:szCs w:val="24"/>
          <w:lang w:val="en-GB"/>
        </w:rPr>
        <w:t>/FP</w:t>
      </w:r>
      <w:r w:rsidRPr="009C49C2">
        <w:rPr>
          <w:rFonts w:ascii="Noto Sans" w:hAnsi="Noto Sans" w:cs="Noto Sans"/>
          <w:sz w:val="24"/>
          <w:szCs w:val="24"/>
          <w:lang w:val="en-GB"/>
        </w:rPr>
        <w:t xml:space="preserve"> to cause harm in the external environment. With regard to (1), the risk factors for </w:t>
      </w:r>
      <w:r w:rsidR="00742445">
        <w:rPr>
          <w:rFonts w:ascii="Noto Sans" w:hAnsi="Noto Sans" w:cs="Noto Sans"/>
          <w:sz w:val="24"/>
          <w:szCs w:val="24"/>
          <w:lang w:val="en-GB"/>
        </w:rPr>
        <w:t>FP</w:t>
      </w:r>
      <w:r w:rsidR="009C49C2" w:rsidRPr="009C49C2">
        <w:rPr>
          <w:rFonts w:ascii="Noto Sans" w:hAnsi="Noto Sans" w:cs="Noto Sans"/>
          <w:sz w:val="24"/>
          <w:szCs w:val="24"/>
          <w:lang w:val="en-GB"/>
        </w:rPr>
        <w:t>/project</w:t>
      </w:r>
      <w:r w:rsidRPr="009C49C2">
        <w:rPr>
          <w:rFonts w:ascii="Noto Sans" w:hAnsi="Noto Sans" w:cs="Noto Sans"/>
          <w:sz w:val="24"/>
          <w:szCs w:val="24"/>
          <w:lang w:val="en-GB"/>
        </w:rPr>
        <w:t xml:space="preserve"> failure include many of the contextual risks outlined above, as well as institutional and political factors. However, there are many other reasons for potential </w:t>
      </w:r>
      <w:r w:rsidR="00742445">
        <w:rPr>
          <w:rFonts w:ascii="Noto Sans" w:hAnsi="Noto Sans" w:cs="Noto Sans"/>
          <w:sz w:val="24"/>
          <w:szCs w:val="24"/>
          <w:lang w:val="en-GB"/>
        </w:rPr>
        <w:t>FP</w:t>
      </w:r>
      <w:r w:rsidR="009C49C2" w:rsidRPr="009C49C2">
        <w:rPr>
          <w:rFonts w:ascii="Noto Sans" w:hAnsi="Noto Sans" w:cs="Noto Sans"/>
          <w:sz w:val="24"/>
          <w:szCs w:val="24"/>
          <w:lang w:val="en-GB"/>
        </w:rPr>
        <w:t>/project</w:t>
      </w:r>
      <w:r w:rsidRPr="009C49C2">
        <w:rPr>
          <w:rFonts w:ascii="Noto Sans" w:hAnsi="Noto Sans" w:cs="Noto Sans"/>
          <w:sz w:val="24"/>
          <w:szCs w:val="24"/>
          <w:lang w:val="en-GB"/>
        </w:rPr>
        <w:t xml:space="preserve"> failure. These include inadequate understanding of the context or flawed assessment of what needs to be done; management and operational failures; and failures of planning and co-ordination. Risk is also associated with new or innovative </w:t>
      </w:r>
      <w:r w:rsidR="00742445">
        <w:rPr>
          <w:rFonts w:ascii="Noto Sans" w:hAnsi="Noto Sans" w:cs="Noto Sans"/>
          <w:sz w:val="24"/>
          <w:szCs w:val="24"/>
          <w:lang w:val="en-GB"/>
        </w:rPr>
        <w:t>FP</w:t>
      </w:r>
      <w:r w:rsidR="009C49C2" w:rsidRPr="009C49C2">
        <w:rPr>
          <w:rFonts w:ascii="Noto Sans" w:hAnsi="Noto Sans" w:cs="Noto Sans"/>
          <w:sz w:val="24"/>
          <w:szCs w:val="24"/>
          <w:lang w:val="en-GB"/>
        </w:rPr>
        <w:t>/project</w:t>
      </w:r>
      <w:r w:rsidRPr="009C49C2">
        <w:rPr>
          <w:rFonts w:ascii="Noto Sans" w:hAnsi="Noto Sans" w:cs="Noto Sans"/>
          <w:sz w:val="24"/>
          <w:szCs w:val="24"/>
          <w:lang w:val="en-GB"/>
        </w:rPr>
        <w:t xml:space="preserve"> approaches (although there may also be risk in failing to innovate).</w:t>
      </w:r>
    </w:p>
    <w:p w14:paraId="0D1649C7" w14:textId="77777777" w:rsidR="00851D47" w:rsidRPr="009C49C2" w:rsidRDefault="00851D47" w:rsidP="00851D47">
      <w:pPr>
        <w:spacing w:after="0" w:line="240" w:lineRule="auto"/>
        <w:jc w:val="both"/>
        <w:rPr>
          <w:rFonts w:ascii="Noto Sans" w:hAnsi="Noto Sans" w:cs="Noto Sans"/>
          <w:sz w:val="24"/>
          <w:szCs w:val="24"/>
          <w:lang w:val="en-GB"/>
        </w:rPr>
      </w:pPr>
    </w:p>
    <w:p w14:paraId="2B190261" w14:textId="4D417450" w:rsidR="00851D47" w:rsidRPr="009C49C2" w:rsidRDefault="00851D47" w:rsidP="00851D47">
      <w:pPr>
        <w:spacing w:after="80" w:line="240" w:lineRule="auto"/>
        <w:jc w:val="both"/>
        <w:rPr>
          <w:rFonts w:ascii="Noto Sans" w:hAnsi="Noto Sans" w:cs="Noto Sans"/>
          <w:sz w:val="24"/>
          <w:szCs w:val="24"/>
          <w:lang w:val="en-GB"/>
        </w:rPr>
      </w:pPr>
      <w:r w:rsidRPr="009C49C2">
        <w:rPr>
          <w:rFonts w:ascii="Noto Sans" w:hAnsi="Noto Sans" w:cs="Noto Sans"/>
          <w:sz w:val="24"/>
          <w:szCs w:val="24"/>
          <w:lang w:val="en-GB"/>
        </w:rPr>
        <w:t xml:space="preserve">One common reason for failure to achieve </w:t>
      </w:r>
      <w:r w:rsidR="00742445">
        <w:rPr>
          <w:rFonts w:ascii="Noto Sans" w:hAnsi="Noto Sans" w:cs="Noto Sans"/>
          <w:sz w:val="24"/>
          <w:szCs w:val="24"/>
          <w:lang w:val="en-GB"/>
        </w:rPr>
        <w:t>FP</w:t>
      </w:r>
      <w:r w:rsidR="009C49C2" w:rsidRPr="009C49C2">
        <w:rPr>
          <w:rFonts w:ascii="Noto Sans" w:hAnsi="Noto Sans" w:cs="Noto Sans"/>
          <w:sz w:val="24"/>
          <w:szCs w:val="24"/>
          <w:lang w:val="en-GB"/>
        </w:rPr>
        <w:t>/project</w:t>
      </w:r>
      <w:r w:rsidRPr="009C49C2">
        <w:rPr>
          <w:rFonts w:ascii="Noto Sans" w:hAnsi="Noto Sans" w:cs="Noto Sans"/>
          <w:sz w:val="24"/>
          <w:szCs w:val="24"/>
          <w:lang w:val="en-GB"/>
        </w:rPr>
        <w:t xml:space="preserve"> objectives is that the objectives themselves are simply too ambitious, either in their nature or time frames. Indeed, over-ambitious objectives seem to be a common side effect of</w:t>
      </w:r>
      <w:r w:rsidR="00742445">
        <w:rPr>
          <w:rFonts w:ascii="Noto Sans" w:hAnsi="Noto Sans" w:cs="Noto Sans"/>
          <w:sz w:val="24"/>
          <w:szCs w:val="24"/>
          <w:lang w:val="en-GB"/>
        </w:rPr>
        <w:t>, for example,</w:t>
      </w:r>
      <w:r w:rsidRPr="009C49C2">
        <w:rPr>
          <w:rFonts w:ascii="Noto Sans" w:hAnsi="Noto Sans" w:cs="Noto Sans"/>
          <w:sz w:val="24"/>
          <w:szCs w:val="24"/>
          <w:lang w:val="en-GB"/>
        </w:rPr>
        <w:t xml:space="preserve"> the political search </w:t>
      </w:r>
      <w:r w:rsidRPr="009C49C2">
        <w:rPr>
          <w:rFonts w:ascii="Noto Sans" w:hAnsi="Noto Sans" w:cs="Noto Sans"/>
          <w:sz w:val="24"/>
          <w:szCs w:val="24"/>
          <w:lang w:val="en-GB"/>
        </w:rPr>
        <w:lastRenderedPageBreak/>
        <w:t xml:space="preserve">for peace dividends in post-conflict settings. With regard to (2), </w:t>
      </w:r>
      <w:r w:rsidR="00742445">
        <w:rPr>
          <w:rFonts w:ascii="Noto Sans" w:hAnsi="Noto Sans" w:cs="Noto Sans"/>
          <w:sz w:val="24"/>
          <w:szCs w:val="24"/>
          <w:lang w:val="en-GB"/>
        </w:rPr>
        <w:t>FP</w:t>
      </w:r>
      <w:r w:rsidR="009C49C2" w:rsidRPr="009C49C2">
        <w:rPr>
          <w:rFonts w:ascii="Noto Sans" w:hAnsi="Noto Sans" w:cs="Noto Sans"/>
          <w:sz w:val="24"/>
          <w:szCs w:val="24"/>
          <w:lang w:val="en-GB"/>
        </w:rPr>
        <w:t>/project</w:t>
      </w:r>
      <w:r w:rsidRPr="009C49C2">
        <w:rPr>
          <w:rFonts w:ascii="Noto Sans" w:hAnsi="Noto Sans" w:cs="Noto Sans"/>
          <w:sz w:val="24"/>
          <w:szCs w:val="24"/>
          <w:lang w:val="en-GB"/>
        </w:rPr>
        <w:t xml:space="preserve"> interventions may both exacerbate and mitigate contextual risks.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131"/>
        <w:gridCol w:w="814"/>
        <w:gridCol w:w="1584"/>
        <w:gridCol w:w="1901"/>
        <w:gridCol w:w="2721"/>
      </w:tblGrid>
      <w:tr w:rsidR="00851D47" w:rsidRPr="009C49C2" w14:paraId="631F7BF1" w14:textId="77777777" w:rsidTr="00B50BB3">
        <w:tc>
          <w:tcPr>
            <w:tcW w:w="1585" w:type="dxa"/>
            <w:tcBorders>
              <w:top w:val="single" w:sz="4" w:space="0" w:color="auto"/>
              <w:left w:val="single" w:sz="4" w:space="0" w:color="auto"/>
              <w:bottom w:val="single" w:sz="4" w:space="0" w:color="auto"/>
              <w:right w:val="single" w:sz="4" w:space="0" w:color="auto"/>
            </w:tcBorders>
            <w:shd w:val="clear" w:color="auto" w:fill="97A595"/>
            <w:hideMark/>
          </w:tcPr>
          <w:p w14:paraId="4C9E1ECB"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Risk Factor</w:t>
            </w:r>
          </w:p>
        </w:tc>
        <w:tc>
          <w:tcPr>
            <w:tcW w:w="1131" w:type="dxa"/>
            <w:tcBorders>
              <w:top w:val="single" w:sz="4" w:space="0" w:color="auto"/>
              <w:left w:val="single" w:sz="4" w:space="0" w:color="auto"/>
              <w:bottom w:val="single" w:sz="4" w:space="0" w:color="auto"/>
              <w:right w:val="single" w:sz="4" w:space="0" w:color="auto"/>
            </w:tcBorders>
            <w:shd w:val="clear" w:color="auto" w:fill="97A595"/>
            <w:hideMark/>
          </w:tcPr>
          <w:p w14:paraId="691042D0"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Likelihood</w:t>
            </w:r>
          </w:p>
        </w:tc>
        <w:tc>
          <w:tcPr>
            <w:tcW w:w="814" w:type="dxa"/>
            <w:tcBorders>
              <w:top w:val="single" w:sz="4" w:space="0" w:color="auto"/>
              <w:left w:val="single" w:sz="4" w:space="0" w:color="auto"/>
              <w:bottom w:val="single" w:sz="4" w:space="0" w:color="auto"/>
              <w:right w:val="single" w:sz="4" w:space="0" w:color="auto"/>
            </w:tcBorders>
            <w:shd w:val="clear" w:color="auto" w:fill="97A595"/>
            <w:hideMark/>
          </w:tcPr>
          <w:p w14:paraId="2FE00313"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Impact</w:t>
            </w:r>
          </w:p>
        </w:tc>
        <w:tc>
          <w:tcPr>
            <w:tcW w:w="1584" w:type="dxa"/>
            <w:tcBorders>
              <w:top w:val="single" w:sz="4" w:space="0" w:color="auto"/>
              <w:left w:val="single" w:sz="4" w:space="0" w:color="auto"/>
              <w:bottom w:val="single" w:sz="4" w:space="0" w:color="auto"/>
              <w:right w:val="single" w:sz="4" w:space="0" w:color="auto"/>
            </w:tcBorders>
            <w:shd w:val="clear" w:color="auto" w:fill="97A595"/>
            <w:hideMark/>
          </w:tcPr>
          <w:p w14:paraId="3FE2BDC1"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Risk response</w:t>
            </w:r>
          </w:p>
        </w:tc>
        <w:tc>
          <w:tcPr>
            <w:tcW w:w="1901" w:type="dxa"/>
            <w:tcBorders>
              <w:top w:val="single" w:sz="4" w:space="0" w:color="auto"/>
              <w:left w:val="single" w:sz="4" w:space="0" w:color="auto"/>
              <w:bottom w:val="single" w:sz="4" w:space="0" w:color="auto"/>
              <w:right w:val="single" w:sz="4" w:space="0" w:color="auto"/>
            </w:tcBorders>
            <w:shd w:val="clear" w:color="auto" w:fill="97A595"/>
            <w:hideMark/>
          </w:tcPr>
          <w:p w14:paraId="78966462"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Residual risks</w:t>
            </w:r>
          </w:p>
        </w:tc>
        <w:tc>
          <w:tcPr>
            <w:tcW w:w="2721" w:type="dxa"/>
            <w:tcBorders>
              <w:top w:val="single" w:sz="4" w:space="0" w:color="auto"/>
              <w:left w:val="single" w:sz="4" w:space="0" w:color="auto"/>
              <w:bottom w:val="single" w:sz="4" w:space="0" w:color="auto"/>
              <w:right w:val="single" w:sz="4" w:space="0" w:color="auto"/>
            </w:tcBorders>
            <w:shd w:val="clear" w:color="auto" w:fill="97A595"/>
            <w:hideMark/>
          </w:tcPr>
          <w:p w14:paraId="3C960A8C" w14:textId="77777777" w:rsidR="00851D47" w:rsidRPr="00B50BB3" w:rsidRDefault="00851D47" w:rsidP="00851D47">
            <w:pPr>
              <w:autoSpaceDE w:val="0"/>
              <w:autoSpaceDN w:val="0"/>
              <w:adjustRightInd w:val="0"/>
              <w:spacing w:after="0" w:line="240" w:lineRule="auto"/>
              <w:jc w:val="both"/>
              <w:rPr>
                <w:rFonts w:ascii="Noto Sans" w:hAnsi="Noto Sans" w:cs="Noto Sans"/>
                <w:b/>
                <w:color w:val="000000"/>
                <w:sz w:val="18"/>
                <w:szCs w:val="18"/>
                <w:lang w:val="en-GB"/>
              </w:rPr>
            </w:pPr>
            <w:r w:rsidRPr="00B50BB3">
              <w:rPr>
                <w:rFonts w:ascii="Noto Sans" w:hAnsi="Noto Sans" w:cs="Noto Sans"/>
                <w:b/>
                <w:color w:val="000000"/>
                <w:sz w:val="18"/>
                <w:szCs w:val="18"/>
                <w:lang w:val="en-GB"/>
              </w:rPr>
              <w:t>Background to assessment</w:t>
            </w:r>
          </w:p>
        </w:tc>
      </w:tr>
      <w:tr w:rsidR="00851D47" w:rsidRPr="00F762D7" w14:paraId="15EDA2EE" w14:textId="77777777" w:rsidTr="00B50BB3">
        <w:tc>
          <w:tcPr>
            <w:tcW w:w="1585" w:type="dxa"/>
            <w:tcBorders>
              <w:top w:val="single" w:sz="4" w:space="0" w:color="auto"/>
              <w:left w:val="single" w:sz="4" w:space="0" w:color="auto"/>
              <w:bottom w:val="single" w:sz="4" w:space="0" w:color="auto"/>
              <w:right w:val="single" w:sz="4" w:space="0" w:color="auto"/>
            </w:tcBorders>
            <w:hideMark/>
          </w:tcPr>
          <w:p w14:paraId="49E2B9A5"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Water sector: The frequency of corruption increases in the sector after decentralisation </w:t>
            </w:r>
          </w:p>
        </w:tc>
        <w:tc>
          <w:tcPr>
            <w:tcW w:w="1131" w:type="dxa"/>
            <w:tcBorders>
              <w:top w:val="single" w:sz="4" w:space="0" w:color="auto"/>
              <w:left w:val="single" w:sz="4" w:space="0" w:color="auto"/>
              <w:bottom w:val="single" w:sz="4" w:space="0" w:color="auto"/>
              <w:right w:val="single" w:sz="4" w:space="0" w:color="auto"/>
            </w:tcBorders>
            <w:hideMark/>
          </w:tcPr>
          <w:p w14:paraId="19F8DAC4"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Likely</w:t>
            </w:r>
          </w:p>
        </w:tc>
        <w:tc>
          <w:tcPr>
            <w:tcW w:w="814" w:type="dxa"/>
            <w:tcBorders>
              <w:top w:val="single" w:sz="4" w:space="0" w:color="auto"/>
              <w:left w:val="single" w:sz="4" w:space="0" w:color="auto"/>
              <w:bottom w:val="single" w:sz="4" w:space="0" w:color="auto"/>
              <w:right w:val="single" w:sz="4" w:space="0" w:color="auto"/>
            </w:tcBorders>
            <w:hideMark/>
          </w:tcPr>
          <w:p w14:paraId="7AED5349"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Major</w:t>
            </w:r>
          </w:p>
        </w:tc>
        <w:tc>
          <w:tcPr>
            <w:tcW w:w="1584" w:type="dxa"/>
            <w:tcBorders>
              <w:top w:val="single" w:sz="4" w:space="0" w:color="auto"/>
              <w:left w:val="single" w:sz="4" w:space="0" w:color="auto"/>
              <w:bottom w:val="single" w:sz="4" w:space="0" w:color="auto"/>
              <w:right w:val="single" w:sz="4" w:space="0" w:color="auto"/>
            </w:tcBorders>
            <w:hideMark/>
          </w:tcPr>
          <w:p w14:paraId="7DA11FA9" w14:textId="6317F581"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Min. of Water to be urged to intensify supervision of works at District level. </w:t>
            </w:r>
            <w:r w:rsidR="00742445">
              <w:rPr>
                <w:rFonts w:ascii="Noto Sans" w:hAnsi="Noto Sans" w:cs="Noto Sans"/>
                <w:color w:val="000000"/>
                <w:sz w:val="18"/>
                <w:szCs w:val="18"/>
                <w:lang w:val="en-GB"/>
              </w:rPr>
              <w:t>Project</w:t>
            </w:r>
            <w:r w:rsidR="00742445" w:rsidRPr="00B50BB3">
              <w:rPr>
                <w:rFonts w:ascii="Noto Sans" w:hAnsi="Noto Sans" w:cs="Noto Sans"/>
                <w:color w:val="000000"/>
                <w:sz w:val="18"/>
                <w:szCs w:val="18"/>
                <w:lang w:val="en-GB"/>
              </w:rPr>
              <w:t xml:space="preserve"> </w:t>
            </w:r>
            <w:r w:rsidRPr="00B50BB3">
              <w:rPr>
                <w:rFonts w:ascii="Noto Sans" w:hAnsi="Noto Sans" w:cs="Noto Sans"/>
                <w:color w:val="000000"/>
                <w:sz w:val="18"/>
                <w:szCs w:val="18"/>
                <w:lang w:val="en-GB"/>
              </w:rPr>
              <w:t>establish financial management unit to monitor use of funds and build capacity at local level. Possibly introduction of joint-donor value for money studies.</w:t>
            </w:r>
          </w:p>
        </w:tc>
        <w:tc>
          <w:tcPr>
            <w:tcW w:w="1901" w:type="dxa"/>
            <w:tcBorders>
              <w:top w:val="single" w:sz="4" w:space="0" w:color="auto"/>
              <w:left w:val="single" w:sz="4" w:space="0" w:color="auto"/>
              <w:bottom w:val="single" w:sz="4" w:space="0" w:color="auto"/>
              <w:right w:val="single" w:sz="4" w:space="0" w:color="auto"/>
            </w:tcBorders>
          </w:tcPr>
          <w:p w14:paraId="2948983F"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Long-term risks reduced substantial due to monitoring and capacity development activities.</w:t>
            </w:r>
          </w:p>
          <w:p w14:paraId="61057A7B"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p>
          <w:p w14:paraId="2A38B978"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Short term risks still exist, though reduced due to regular monitoring.</w:t>
            </w:r>
          </w:p>
        </w:tc>
        <w:tc>
          <w:tcPr>
            <w:tcW w:w="2721" w:type="dxa"/>
            <w:tcBorders>
              <w:top w:val="single" w:sz="4" w:space="0" w:color="auto"/>
              <w:left w:val="single" w:sz="4" w:space="0" w:color="auto"/>
              <w:bottom w:val="single" w:sz="4" w:space="0" w:color="auto"/>
              <w:right w:val="single" w:sz="4" w:space="0" w:color="auto"/>
            </w:tcBorders>
            <w:hideMark/>
          </w:tcPr>
          <w:p w14:paraId="5D3002F0"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Districts’ capacity and quality of governance will only increase gradually. Procurement processes and implementation may suffer. Possibilities of short-term preventive measures are limited.  </w:t>
            </w:r>
          </w:p>
        </w:tc>
      </w:tr>
      <w:tr w:rsidR="00851D47" w:rsidRPr="00F762D7" w14:paraId="6A1B0A9E" w14:textId="77777777" w:rsidTr="00B50BB3">
        <w:tc>
          <w:tcPr>
            <w:tcW w:w="1585" w:type="dxa"/>
            <w:tcBorders>
              <w:top w:val="single" w:sz="4" w:space="0" w:color="auto"/>
              <w:left w:val="single" w:sz="4" w:space="0" w:color="auto"/>
              <w:bottom w:val="single" w:sz="4" w:space="0" w:color="auto"/>
              <w:right w:val="single" w:sz="4" w:space="0" w:color="auto"/>
            </w:tcBorders>
            <w:hideMark/>
          </w:tcPr>
          <w:p w14:paraId="589053F5"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NGO funding facility: The space available to civil society for activism and advocacy is substantially reduced</w:t>
            </w:r>
          </w:p>
        </w:tc>
        <w:tc>
          <w:tcPr>
            <w:tcW w:w="1131" w:type="dxa"/>
            <w:tcBorders>
              <w:top w:val="single" w:sz="4" w:space="0" w:color="auto"/>
              <w:left w:val="single" w:sz="4" w:space="0" w:color="auto"/>
              <w:bottom w:val="single" w:sz="4" w:space="0" w:color="auto"/>
              <w:right w:val="single" w:sz="4" w:space="0" w:color="auto"/>
            </w:tcBorders>
            <w:hideMark/>
          </w:tcPr>
          <w:p w14:paraId="33F1D37E"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Likely</w:t>
            </w:r>
          </w:p>
        </w:tc>
        <w:tc>
          <w:tcPr>
            <w:tcW w:w="814" w:type="dxa"/>
            <w:tcBorders>
              <w:top w:val="single" w:sz="4" w:space="0" w:color="auto"/>
              <w:left w:val="single" w:sz="4" w:space="0" w:color="auto"/>
              <w:bottom w:val="single" w:sz="4" w:space="0" w:color="auto"/>
              <w:right w:val="single" w:sz="4" w:space="0" w:color="auto"/>
            </w:tcBorders>
            <w:hideMark/>
          </w:tcPr>
          <w:p w14:paraId="5F4B5B6B"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Major</w:t>
            </w:r>
          </w:p>
        </w:tc>
        <w:tc>
          <w:tcPr>
            <w:tcW w:w="1584" w:type="dxa"/>
            <w:tcBorders>
              <w:top w:val="single" w:sz="4" w:space="0" w:color="auto"/>
              <w:left w:val="single" w:sz="4" w:space="0" w:color="auto"/>
              <w:bottom w:val="single" w:sz="4" w:space="0" w:color="auto"/>
              <w:right w:val="single" w:sz="4" w:space="0" w:color="auto"/>
            </w:tcBorders>
            <w:hideMark/>
          </w:tcPr>
          <w:p w14:paraId="68FEFF1F"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Closer coordination among donors and intensified joint pressure on the authorities to respect the rights of the civil society; </w:t>
            </w:r>
          </w:p>
        </w:tc>
        <w:tc>
          <w:tcPr>
            <w:tcW w:w="1901" w:type="dxa"/>
            <w:tcBorders>
              <w:top w:val="single" w:sz="4" w:space="0" w:color="auto"/>
              <w:left w:val="single" w:sz="4" w:space="0" w:color="auto"/>
              <w:bottom w:val="single" w:sz="4" w:space="0" w:color="auto"/>
              <w:right w:val="single" w:sz="4" w:space="0" w:color="auto"/>
            </w:tcBorders>
          </w:tcPr>
          <w:p w14:paraId="198E2DA4"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Risk marginal lower, but risks are still likely and major. </w:t>
            </w:r>
          </w:p>
          <w:p w14:paraId="7E79BD33"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p>
          <w:p w14:paraId="1F5C3874" w14:textId="29324AE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 xml:space="preserve">Independent of the </w:t>
            </w:r>
            <w:r w:rsidR="009C49C2" w:rsidRPr="00B50BB3">
              <w:rPr>
                <w:rFonts w:ascii="Noto Sans" w:hAnsi="Noto Sans" w:cs="Noto Sans"/>
                <w:color w:val="000000"/>
                <w:sz w:val="18"/>
                <w:szCs w:val="18"/>
                <w:lang w:val="en-GB"/>
              </w:rPr>
              <w:t>high-risk</w:t>
            </w:r>
            <w:r w:rsidRPr="00B50BB3">
              <w:rPr>
                <w:rFonts w:ascii="Noto Sans" w:hAnsi="Noto Sans" w:cs="Noto Sans"/>
                <w:color w:val="000000"/>
                <w:sz w:val="18"/>
                <w:szCs w:val="18"/>
                <w:lang w:val="en-GB"/>
              </w:rPr>
              <w:t xml:space="preserve"> level, it is decided to continue support due to importance of issue. </w:t>
            </w:r>
          </w:p>
        </w:tc>
        <w:tc>
          <w:tcPr>
            <w:tcW w:w="2721" w:type="dxa"/>
            <w:tcBorders>
              <w:top w:val="single" w:sz="4" w:space="0" w:color="auto"/>
              <w:left w:val="single" w:sz="4" w:space="0" w:color="auto"/>
              <w:bottom w:val="single" w:sz="4" w:space="0" w:color="auto"/>
              <w:right w:val="single" w:sz="4" w:space="0" w:color="auto"/>
            </w:tcBorders>
            <w:hideMark/>
          </w:tcPr>
          <w:p w14:paraId="2FEE7569" w14:textId="77777777" w:rsidR="00851D47" w:rsidRPr="00B50BB3" w:rsidRDefault="00851D47" w:rsidP="00851D47">
            <w:pPr>
              <w:autoSpaceDE w:val="0"/>
              <w:autoSpaceDN w:val="0"/>
              <w:adjustRightInd w:val="0"/>
              <w:spacing w:after="0" w:line="240" w:lineRule="auto"/>
              <w:jc w:val="both"/>
              <w:rPr>
                <w:rFonts w:ascii="Noto Sans" w:hAnsi="Noto Sans" w:cs="Noto Sans"/>
                <w:color w:val="000000"/>
                <w:sz w:val="18"/>
                <w:szCs w:val="18"/>
                <w:lang w:val="en-GB"/>
              </w:rPr>
            </w:pPr>
            <w:r w:rsidRPr="00B50BB3">
              <w:rPr>
                <w:rFonts w:ascii="Noto Sans" w:hAnsi="Noto Sans" w:cs="Noto Sans"/>
                <w:color w:val="000000"/>
                <w:sz w:val="18"/>
                <w:szCs w:val="18"/>
                <w:lang w:val="en-GB"/>
              </w:rPr>
              <w:t>Present political trends are worrying; shrinking CSO space would seriously reduce scope for impact. Limited possibility for donors to influence the development since reduction of CSO support would be counterproductive.</w:t>
            </w:r>
          </w:p>
        </w:tc>
      </w:tr>
    </w:tbl>
    <w:p w14:paraId="2A73488F" w14:textId="77777777" w:rsidR="00851D47" w:rsidRPr="009C49C2" w:rsidRDefault="00851D47" w:rsidP="00851D47">
      <w:pPr>
        <w:keepNext/>
        <w:keepLines/>
        <w:spacing w:before="200" w:after="0" w:line="240" w:lineRule="auto"/>
        <w:jc w:val="both"/>
        <w:outlineLvl w:val="1"/>
        <w:rPr>
          <w:rFonts w:ascii="Noto Sans" w:eastAsiaTheme="majorEastAsia" w:hAnsi="Noto Sans" w:cs="Noto Sans"/>
          <w:b/>
          <w:bCs/>
          <w:sz w:val="16"/>
          <w:szCs w:val="16"/>
          <w:u w:val="single"/>
          <w:lang w:val="en-GB"/>
        </w:rPr>
      </w:pPr>
    </w:p>
    <w:p w14:paraId="23B364C7" w14:textId="77777777" w:rsidR="00851D47" w:rsidRPr="009C49C2" w:rsidRDefault="00851D47" w:rsidP="00793C54">
      <w:pPr>
        <w:shd w:val="clear" w:color="auto" w:fill="E5E5E5"/>
        <w:spacing w:before="120" w:after="120" w:line="240" w:lineRule="auto"/>
        <w:rPr>
          <w:rFonts w:ascii="Noto Sans" w:eastAsiaTheme="majorEastAsia" w:hAnsi="Noto Sans" w:cs="Noto Sans"/>
          <w:b/>
          <w:caps/>
          <w:color w:val="9B0D2B"/>
          <w:sz w:val="24"/>
          <w:szCs w:val="24"/>
          <w:lang w:val="en-GB"/>
        </w:rPr>
      </w:pPr>
      <w:r w:rsidRPr="009C49C2">
        <w:rPr>
          <w:rFonts w:ascii="Noto Sans" w:eastAsiaTheme="majorEastAsia" w:hAnsi="Noto Sans" w:cs="Noto Sans"/>
          <w:b/>
          <w:caps/>
          <w:color w:val="9B0D2B"/>
          <w:sz w:val="24"/>
          <w:szCs w:val="24"/>
          <w:lang w:val="en-GB"/>
        </w:rPr>
        <w:t>Institutional risks</w:t>
      </w:r>
    </w:p>
    <w:p w14:paraId="342DDD11" w14:textId="77777777" w:rsidR="00851D47" w:rsidRPr="009C49C2" w:rsidRDefault="00851D47" w:rsidP="00851D47">
      <w:pPr>
        <w:spacing w:after="0" w:line="240" w:lineRule="auto"/>
        <w:rPr>
          <w:rFonts w:ascii="Noto Sans" w:hAnsi="Noto Sans" w:cs="Noto Sans"/>
          <w:sz w:val="24"/>
          <w:szCs w:val="24"/>
          <w:lang w:val="en-GB"/>
        </w:rPr>
      </w:pPr>
      <w:r w:rsidRPr="009C49C2">
        <w:rPr>
          <w:rFonts w:ascii="Noto Sans" w:hAnsi="Noto Sans" w:cs="Noto Sans"/>
          <w:sz w:val="24"/>
          <w:szCs w:val="24"/>
          <w:lang w:val="en-GB"/>
        </w:rPr>
        <w:t xml:space="preserve">This category includes “internal” risk from the perspective of the donor or its implementing partners. It includes the range of ways in which an organisation and its staff or stakeholders may be adversely affected by interventions. </w:t>
      </w:r>
    </w:p>
    <w:p w14:paraId="5E86A68C" w14:textId="77777777" w:rsidR="00851D47" w:rsidRPr="009C49C2" w:rsidRDefault="00851D47" w:rsidP="00851D47">
      <w:pPr>
        <w:spacing w:after="0" w:line="240" w:lineRule="auto"/>
        <w:rPr>
          <w:rFonts w:ascii="Noto Sans" w:hAnsi="Noto Sans" w:cs="Noto Sans"/>
          <w:sz w:val="24"/>
          <w:szCs w:val="24"/>
          <w:lang w:val="en-GB"/>
        </w:rPr>
      </w:pPr>
    </w:p>
    <w:p w14:paraId="6EB02CBC" w14:textId="77777777" w:rsidR="00851D47" w:rsidRPr="009C49C2" w:rsidRDefault="00851D47" w:rsidP="00851D47">
      <w:pPr>
        <w:spacing w:after="0" w:line="240" w:lineRule="auto"/>
        <w:rPr>
          <w:rFonts w:ascii="Noto Sans" w:hAnsi="Noto Sans" w:cs="Noto Sans"/>
          <w:sz w:val="24"/>
          <w:szCs w:val="24"/>
          <w:lang w:val="en-GB"/>
        </w:rPr>
      </w:pPr>
      <w:r w:rsidRPr="009C49C2">
        <w:rPr>
          <w:rFonts w:ascii="Noto Sans" w:hAnsi="Noto Sans" w:cs="Noto Sans"/>
          <w:sz w:val="24"/>
          <w:szCs w:val="24"/>
          <w:lang w:val="en-GB"/>
        </w:rPr>
        <w:t>These risks can be further categorised as follows:</w:t>
      </w:r>
    </w:p>
    <w:p w14:paraId="77B12D5E" w14:textId="09704F1F" w:rsidR="00851D47" w:rsidRPr="009C49C2" w:rsidRDefault="00851D47" w:rsidP="00793C54">
      <w:pPr>
        <w:numPr>
          <w:ilvl w:val="0"/>
          <w:numId w:val="3"/>
        </w:numPr>
        <w:spacing w:after="0" w:line="240" w:lineRule="auto"/>
        <w:contextualSpacing/>
        <w:jc w:val="both"/>
        <w:rPr>
          <w:rFonts w:ascii="Noto Sans" w:hAnsi="Noto Sans" w:cs="Noto Sans"/>
          <w:sz w:val="24"/>
          <w:szCs w:val="24"/>
          <w:lang w:val="en-GB"/>
        </w:rPr>
      </w:pPr>
      <w:r w:rsidRPr="009C49C2">
        <w:rPr>
          <w:rFonts w:ascii="Noto Sans" w:hAnsi="Noto Sans" w:cs="Noto Sans"/>
          <w:sz w:val="24"/>
          <w:szCs w:val="24"/>
          <w:lang w:val="en-GB"/>
        </w:rPr>
        <w:t xml:space="preserve">Operational security risks: </w:t>
      </w:r>
      <w:proofErr w:type="gramStart"/>
      <w:r w:rsidRPr="009C49C2">
        <w:rPr>
          <w:rFonts w:ascii="Noto Sans" w:hAnsi="Noto Sans" w:cs="Noto Sans"/>
          <w:sz w:val="24"/>
          <w:szCs w:val="24"/>
          <w:lang w:val="en-GB"/>
        </w:rPr>
        <w:t>e.g.</w:t>
      </w:r>
      <w:proofErr w:type="gramEnd"/>
      <w:r w:rsidRPr="009C49C2">
        <w:rPr>
          <w:rFonts w:ascii="Noto Sans" w:hAnsi="Noto Sans" w:cs="Noto Sans"/>
          <w:sz w:val="24"/>
          <w:szCs w:val="24"/>
          <w:lang w:val="en-GB"/>
        </w:rPr>
        <w:t xml:space="preserve"> threats to the safety of staff and partners or the continuity of </w:t>
      </w:r>
      <w:r w:rsidR="00742445">
        <w:rPr>
          <w:rFonts w:ascii="Noto Sans" w:hAnsi="Noto Sans" w:cs="Noto Sans"/>
          <w:sz w:val="24"/>
          <w:szCs w:val="24"/>
          <w:lang w:val="en-GB"/>
        </w:rPr>
        <w:t>FP</w:t>
      </w:r>
      <w:r w:rsidR="009C49C2" w:rsidRPr="009C49C2">
        <w:rPr>
          <w:rFonts w:ascii="Noto Sans" w:hAnsi="Noto Sans" w:cs="Noto Sans"/>
          <w:sz w:val="24"/>
          <w:szCs w:val="24"/>
          <w:lang w:val="en-GB"/>
        </w:rPr>
        <w:t>/projects</w:t>
      </w:r>
      <w:r w:rsidRPr="009C49C2">
        <w:rPr>
          <w:rFonts w:ascii="Noto Sans" w:hAnsi="Noto Sans" w:cs="Noto Sans"/>
          <w:sz w:val="24"/>
          <w:szCs w:val="24"/>
          <w:lang w:val="en-GB"/>
        </w:rPr>
        <w:t>, etc.</w:t>
      </w:r>
    </w:p>
    <w:p w14:paraId="63265FC4" w14:textId="77777777" w:rsidR="00851D47" w:rsidRPr="009C49C2" w:rsidRDefault="00851D47" w:rsidP="00793C54">
      <w:pPr>
        <w:numPr>
          <w:ilvl w:val="0"/>
          <w:numId w:val="3"/>
        </w:numPr>
        <w:spacing w:after="0" w:line="240" w:lineRule="auto"/>
        <w:contextualSpacing/>
        <w:jc w:val="both"/>
        <w:rPr>
          <w:rFonts w:ascii="Noto Sans" w:hAnsi="Noto Sans" w:cs="Noto Sans"/>
          <w:sz w:val="24"/>
          <w:szCs w:val="24"/>
          <w:lang w:val="en-GB"/>
        </w:rPr>
      </w:pPr>
      <w:r w:rsidRPr="009C49C2">
        <w:rPr>
          <w:rFonts w:ascii="Noto Sans" w:hAnsi="Noto Sans" w:cs="Noto Sans"/>
          <w:sz w:val="24"/>
          <w:szCs w:val="24"/>
          <w:lang w:val="en-GB"/>
        </w:rPr>
        <w:t>Operational risks linked to weak performance of the donor or partners (e.g. lack of senior management attention, delays in approvals of necessary changes, delays in provision of funds, weak or belated follow-up on reports)</w:t>
      </w:r>
    </w:p>
    <w:p w14:paraId="5234BC57" w14:textId="34980B84" w:rsidR="00851D47" w:rsidRPr="009C49C2" w:rsidRDefault="00851D47" w:rsidP="00793C54">
      <w:pPr>
        <w:numPr>
          <w:ilvl w:val="0"/>
          <w:numId w:val="3"/>
        </w:numPr>
        <w:spacing w:after="0" w:line="240" w:lineRule="auto"/>
        <w:contextualSpacing/>
        <w:jc w:val="both"/>
        <w:rPr>
          <w:rFonts w:ascii="Noto Sans" w:hAnsi="Noto Sans" w:cs="Noto Sans"/>
          <w:sz w:val="24"/>
          <w:szCs w:val="24"/>
          <w:lang w:val="en-GB"/>
        </w:rPr>
      </w:pPr>
      <w:r w:rsidRPr="009C49C2">
        <w:rPr>
          <w:rFonts w:ascii="Noto Sans" w:hAnsi="Noto Sans" w:cs="Noto Sans"/>
          <w:sz w:val="24"/>
          <w:szCs w:val="24"/>
          <w:lang w:val="en-GB"/>
        </w:rPr>
        <w:t xml:space="preserve">Financial and fiduciary risk: </w:t>
      </w:r>
      <w:proofErr w:type="gramStart"/>
      <w:r w:rsidR="009C49C2" w:rsidRPr="009C49C2">
        <w:rPr>
          <w:rFonts w:ascii="Noto Sans" w:hAnsi="Noto Sans" w:cs="Noto Sans"/>
          <w:sz w:val="24"/>
          <w:szCs w:val="24"/>
          <w:lang w:val="en-GB"/>
        </w:rPr>
        <w:t>E</w:t>
      </w:r>
      <w:r w:rsidRPr="009C49C2">
        <w:rPr>
          <w:rFonts w:ascii="Noto Sans" w:hAnsi="Noto Sans" w:cs="Noto Sans"/>
          <w:sz w:val="24"/>
          <w:szCs w:val="24"/>
          <w:lang w:val="en-GB"/>
        </w:rPr>
        <w:t>.g.</w:t>
      </w:r>
      <w:proofErr w:type="gramEnd"/>
      <w:r w:rsidRPr="009C49C2">
        <w:rPr>
          <w:rFonts w:ascii="Noto Sans" w:hAnsi="Noto Sans" w:cs="Noto Sans"/>
          <w:sz w:val="24"/>
          <w:szCs w:val="24"/>
          <w:lang w:val="en-GB"/>
        </w:rPr>
        <w:t xml:space="preserve"> financial loss and risk of institutional liability for loss/failure resulting from corruption or financial mismanagement.</w:t>
      </w:r>
    </w:p>
    <w:p w14:paraId="4C2A4326" w14:textId="77777777" w:rsidR="00851D47" w:rsidRPr="009C49C2" w:rsidRDefault="00851D47" w:rsidP="00793C54">
      <w:pPr>
        <w:numPr>
          <w:ilvl w:val="0"/>
          <w:numId w:val="3"/>
        </w:numPr>
        <w:spacing w:after="0" w:line="240" w:lineRule="auto"/>
        <w:contextualSpacing/>
        <w:jc w:val="both"/>
        <w:rPr>
          <w:rFonts w:ascii="Noto Sans" w:hAnsi="Noto Sans" w:cs="Noto Sans"/>
          <w:sz w:val="24"/>
          <w:szCs w:val="24"/>
          <w:lang w:val="en-GB"/>
        </w:rPr>
      </w:pPr>
      <w:r w:rsidRPr="009C49C2">
        <w:rPr>
          <w:rFonts w:ascii="Noto Sans" w:hAnsi="Noto Sans" w:cs="Noto Sans"/>
          <w:sz w:val="24"/>
          <w:szCs w:val="24"/>
          <w:lang w:val="en-GB"/>
        </w:rPr>
        <w:t>Reputational risk: E.g., damage to a donor’s or partners reputation if they fail to achieve its objectives, or from financial/fiduciary failure.</w:t>
      </w:r>
    </w:p>
    <w:p w14:paraId="0C5EF814" w14:textId="77777777" w:rsidR="00851D47" w:rsidRPr="009C49C2" w:rsidRDefault="00851D47" w:rsidP="00793C54">
      <w:pPr>
        <w:numPr>
          <w:ilvl w:val="0"/>
          <w:numId w:val="3"/>
        </w:numPr>
        <w:spacing w:after="0" w:line="240" w:lineRule="auto"/>
        <w:contextualSpacing/>
        <w:jc w:val="both"/>
        <w:rPr>
          <w:rFonts w:ascii="Noto Sans" w:hAnsi="Noto Sans" w:cs="Noto Sans"/>
          <w:sz w:val="24"/>
          <w:szCs w:val="24"/>
          <w:lang w:val="en-GB"/>
        </w:rPr>
      </w:pPr>
      <w:r w:rsidRPr="009C49C2">
        <w:rPr>
          <w:rFonts w:ascii="Noto Sans" w:hAnsi="Noto Sans" w:cs="Noto Sans"/>
          <w:sz w:val="24"/>
          <w:szCs w:val="24"/>
          <w:lang w:val="en-GB"/>
        </w:rPr>
        <w:t>Political and reputational risk from engaging in countries where the appropriateness of aid support is questioned or where aid appears to support violent/corrupt groups.</w:t>
      </w:r>
    </w:p>
    <w:p w14:paraId="325FC0A1" w14:textId="77777777" w:rsidR="00851D47" w:rsidRPr="009C49C2" w:rsidRDefault="00851D47" w:rsidP="00851D47">
      <w:pPr>
        <w:spacing w:after="0" w:line="240" w:lineRule="auto"/>
        <w:rPr>
          <w:rFonts w:ascii="Noto Sans" w:hAnsi="Noto Sans" w:cs="Noto Sans"/>
          <w:sz w:val="24"/>
          <w:szCs w:val="24"/>
          <w:lang w:val="en-GB"/>
        </w:rPr>
      </w:pPr>
    </w:p>
    <w:p w14:paraId="1E6D9E28" w14:textId="77777777" w:rsidR="00851D47" w:rsidRPr="009C49C2" w:rsidRDefault="00851D47" w:rsidP="00851D47">
      <w:pPr>
        <w:spacing w:after="0" w:line="240" w:lineRule="auto"/>
        <w:rPr>
          <w:rFonts w:ascii="Noto Sans" w:hAnsi="Noto Sans" w:cs="Noto Sans"/>
          <w:sz w:val="24"/>
          <w:szCs w:val="24"/>
          <w:lang w:val="en-GB"/>
        </w:rPr>
      </w:pPr>
      <w:r w:rsidRPr="009C49C2">
        <w:rPr>
          <w:rFonts w:ascii="Noto Sans" w:hAnsi="Noto Sans" w:cs="Noto Sans"/>
          <w:sz w:val="24"/>
          <w:szCs w:val="24"/>
          <w:lang w:val="en-GB"/>
        </w:rPr>
        <w:t xml:space="preserve">Reputational risk may result from a donor failing to apply the agreed principles of good donor ship, or from running too high a fiduciary risk and being exposed to criticism as a result. </w:t>
      </w:r>
    </w:p>
    <w:p w14:paraId="6E592AD0" w14:textId="77777777" w:rsidR="00851D47" w:rsidRPr="009C49C2" w:rsidRDefault="00851D47" w:rsidP="00851D47">
      <w:pPr>
        <w:spacing w:after="0" w:line="240" w:lineRule="auto"/>
        <w:rPr>
          <w:rFonts w:ascii="Noto Sans" w:hAnsi="Noto Sans" w:cs="Noto San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34"/>
        <w:gridCol w:w="818"/>
        <w:gridCol w:w="1660"/>
        <w:gridCol w:w="2045"/>
        <w:gridCol w:w="2708"/>
      </w:tblGrid>
      <w:tr w:rsidR="00851D47" w:rsidRPr="009C49C2" w14:paraId="200D698C" w14:textId="77777777" w:rsidTr="00793C54">
        <w:tc>
          <w:tcPr>
            <w:tcW w:w="1809" w:type="dxa"/>
            <w:tcBorders>
              <w:top w:val="single" w:sz="4" w:space="0" w:color="auto"/>
              <w:left w:val="single" w:sz="4" w:space="0" w:color="auto"/>
              <w:bottom w:val="single" w:sz="4" w:space="0" w:color="auto"/>
              <w:right w:val="single" w:sz="4" w:space="0" w:color="auto"/>
            </w:tcBorders>
            <w:shd w:val="clear" w:color="auto" w:fill="97A595"/>
            <w:hideMark/>
          </w:tcPr>
          <w:p w14:paraId="6DCC55EF"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9C49C2">
              <w:rPr>
                <w:rFonts w:ascii="Noto Sans" w:hAnsi="Noto Sans" w:cs="Noto Sans"/>
                <w:b/>
                <w:color w:val="000000"/>
                <w:sz w:val="18"/>
                <w:szCs w:val="18"/>
                <w:lang w:val="en-GB"/>
              </w:rPr>
              <w:t>Risk Factor</w:t>
            </w:r>
          </w:p>
        </w:tc>
        <w:tc>
          <w:tcPr>
            <w:tcW w:w="1161" w:type="dxa"/>
            <w:tcBorders>
              <w:top w:val="single" w:sz="4" w:space="0" w:color="auto"/>
              <w:left w:val="single" w:sz="4" w:space="0" w:color="auto"/>
              <w:bottom w:val="single" w:sz="4" w:space="0" w:color="auto"/>
              <w:right w:val="single" w:sz="4" w:space="0" w:color="auto"/>
            </w:tcBorders>
            <w:shd w:val="clear" w:color="auto" w:fill="97A595"/>
            <w:hideMark/>
          </w:tcPr>
          <w:p w14:paraId="5309B313"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9C49C2">
              <w:rPr>
                <w:rFonts w:ascii="Noto Sans" w:hAnsi="Noto Sans" w:cs="Noto Sans"/>
                <w:b/>
                <w:color w:val="000000"/>
                <w:sz w:val="18"/>
                <w:szCs w:val="18"/>
                <w:lang w:val="en-GB"/>
              </w:rPr>
              <w:t>Likelihood</w:t>
            </w:r>
          </w:p>
        </w:tc>
        <w:tc>
          <w:tcPr>
            <w:tcW w:w="849" w:type="dxa"/>
            <w:tcBorders>
              <w:top w:val="single" w:sz="4" w:space="0" w:color="auto"/>
              <w:left w:val="single" w:sz="4" w:space="0" w:color="auto"/>
              <w:bottom w:val="single" w:sz="4" w:space="0" w:color="auto"/>
              <w:right w:val="single" w:sz="4" w:space="0" w:color="auto"/>
            </w:tcBorders>
            <w:shd w:val="clear" w:color="auto" w:fill="97A595"/>
            <w:hideMark/>
          </w:tcPr>
          <w:p w14:paraId="3627C67B"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9C49C2">
              <w:rPr>
                <w:rFonts w:ascii="Noto Sans" w:hAnsi="Noto Sans" w:cs="Noto Sans"/>
                <w:b/>
                <w:color w:val="000000"/>
                <w:sz w:val="18"/>
                <w:szCs w:val="18"/>
                <w:lang w:val="en-GB"/>
              </w:rPr>
              <w:t>Impact</w:t>
            </w:r>
          </w:p>
        </w:tc>
        <w:tc>
          <w:tcPr>
            <w:tcW w:w="2243" w:type="dxa"/>
            <w:tcBorders>
              <w:top w:val="single" w:sz="4" w:space="0" w:color="auto"/>
              <w:left w:val="single" w:sz="4" w:space="0" w:color="auto"/>
              <w:bottom w:val="single" w:sz="4" w:space="0" w:color="auto"/>
              <w:right w:val="single" w:sz="4" w:space="0" w:color="auto"/>
            </w:tcBorders>
            <w:shd w:val="clear" w:color="auto" w:fill="97A595"/>
            <w:hideMark/>
          </w:tcPr>
          <w:p w14:paraId="2EF629B6"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9C49C2">
              <w:rPr>
                <w:rFonts w:ascii="Noto Sans" w:hAnsi="Noto Sans" w:cs="Noto Sans"/>
                <w:b/>
                <w:color w:val="000000"/>
                <w:sz w:val="18"/>
                <w:szCs w:val="18"/>
                <w:lang w:val="en-GB"/>
              </w:rPr>
              <w:t>Risk response</w:t>
            </w:r>
          </w:p>
        </w:tc>
        <w:tc>
          <w:tcPr>
            <w:tcW w:w="3260" w:type="dxa"/>
            <w:tcBorders>
              <w:top w:val="single" w:sz="4" w:space="0" w:color="auto"/>
              <w:left w:val="single" w:sz="4" w:space="0" w:color="auto"/>
              <w:bottom w:val="single" w:sz="4" w:space="0" w:color="auto"/>
              <w:right w:val="single" w:sz="4" w:space="0" w:color="auto"/>
            </w:tcBorders>
            <w:shd w:val="clear" w:color="auto" w:fill="97A595"/>
            <w:hideMark/>
          </w:tcPr>
          <w:p w14:paraId="34AAFA78"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9C49C2">
              <w:rPr>
                <w:rFonts w:ascii="Noto Sans" w:hAnsi="Noto Sans" w:cs="Noto Sans"/>
                <w:b/>
                <w:color w:val="000000"/>
                <w:sz w:val="18"/>
                <w:szCs w:val="18"/>
                <w:lang w:val="en-GB"/>
              </w:rPr>
              <w:t>Residual risks</w:t>
            </w:r>
          </w:p>
        </w:tc>
        <w:tc>
          <w:tcPr>
            <w:tcW w:w="4848" w:type="dxa"/>
            <w:tcBorders>
              <w:top w:val="single" w:sz="4" w:space="0" w:color="auto"/>
              <w:left w:val="single" w:sz="4" w:space="0" w:color="auto"/>
              <w:bottom w:val="single" w:sz="4" w:space="0" w:color="auto"/>
              <w:right w:val="single" w:sz="4" w:space="0" w:color="auto"/>
            </w:tcBorders>
            <w:shd w:val="clear" w:color="auto" w:fill="97A595"/>
            <w:hideMark/>
          </w:tcPr>
          <w:p w14:paraId="1E578EC9" w14:textId="77777777" w:rsidR="00851D47" w:rsidRPr="009C49C2" w:rsidRDefault="00851D47" w:rsidP="00851D47">
            <w:pPr>
              <w:autoSpaceDE w:val="0"/>
              <w:autoSpaceDN w:val="0"/>
              <w:adjustRightInd w:val="0"/>
              <w:spacing w:after="0" w:line="240" w:lineRule="auto"/>
              <w:rPr>
                <w:rFonts w:ascii="Noto Sans" w:hAnsi="Noto Sans" w:cs="Noto Sans"/>
                <w:b/>
                <w:color w:val="000000"/>
                <w:sz w:val="18"/>
                <w:szCs w:val="18"/>
                <w:lang w:val="en-GB"/>
              </w:rPr>
            </w:pPr>
            <w:r w:rsidRPr="009C49C2">
              <w:rPr>
                <w:rFonts w:ascii="Noto Sans" w:hAnsi="Noto Sans" w:cs="Noto Sans"/>
                <w:b/>
                <w:color w:val="000000"/>
                <w:sz w:val="18"/>
                <w:szCs w:val="18"/>
                <w:lang w:val="en-GB"/>
              </w:rPr>
              <w:t>Background to assessment</w:t>
            </w:r>
          </w:p>
        </w:tc>
      </w:tr>
      <w:tr w:rsidR="00851D47" w:rsidRPr="00F762D7" w14:paraId="4FA465BF" w14:textId="77777777" w:rsidTr="00371A69">
        <w:tc>
          <w:tcPr>
            <w:tcW w:w="1809" w:type="dxa"/>
            <w:tcBorders>
              <w:top w:val="single" w:sz="4" w:space="0" w:color="auto"/>
              <w:left w:val="single" w:sz="4" w:space="0" w:color="auto"/>
              <w:bottom w:val="single" w:sz="4" w:space="0" w:color="auto"/>
              <w:right w:val="single" w:sz="4" w:space="0" w:color="auto"/>
            </w:tcBorders>
            <w:hideMark/>
          </w:tcPr>
          <w:p w14:paraId="3D96E000" w14:textId="47FE83B8" w:rsidR="00851D47" w:rsidRPr="009C49C2"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9C49C2">
              <w:rPr>
                <w:rFonts w:ascii="Noto Sans" w:hAnsi="Noto Sans" w:cs="Noto Sans"/>
                <w:color w:val="000000"/>
                <w:sz w:val="18"/>
                <w:szCs w:val="18"/>
                <w:lang w:val="en-GB"/>
              </w:rPr>
              <w:t xml:space="preserve">Denmark gets associated </w:t>
            </w:r>
            <w:r w:rsidRPr="009C49C2">
              <w:rPr>
                <w:rFonts w:ascii="Noto Sans" w:hAnsi="Noto Sans" w:cs="Noto Sans"/>
                <w:color w:val="000000"/>
                <w:sz w:val="18"/>
                <w:szCs w:val="18"/>
                <w:lang w:val="en-GB"/>
              </w:rPr>
              <w:lastRenderedPageBreak/>
              <w:t xml:space="preserve">with major corruption scandal in one of the sectors of the </w:t>
            </w:r>
            <w:r w:rsidR="00742445">
              <w:rPr>
                <w:rFonts w:ascii="Noto Sans" w:hAnsi="Noto Sans" w:cs="Noto Sans"/>
                <w:color w:val="000000"/>
                <w:sz w:val="18"/>
                <w:szCs w:val="18"/>
                <w:lang w:val="en-GB"/>
              </w:rPr>
              <w:t>project</w:t>
            </w:r>
            <w:r w:rsidRPr="009C49C2">
              <w:rPr>
                <w:rFonts w:ascii="Noto Sans" w:hAnsi="Noto Sans" w:cs="Noto Sans"/>
                <w:color w:val="000000"/>
                <w:sz w:val="18"/>
                <w:szCs w:val="18"/>
                <w:lang w:val="en-GB"/>
              </w:rPr>
              <w:t>.</w:t>
            </w:r>
          </w:p>
        </w:tc>
        <w:tc>
          <w:tcPr>
            <w:tcW w:w="1161" w:type="dxa"/>
            <w:tcBorders>
              <w:top w:val="single" w:sz="4" w:space="0" w:color="auto"/>
              <w:left w:val="single" w:sz="4" w:space="0" w:color="auto"/>
              <w:bottom w:val="single" w:sz="4" w:space="0" w:color="auto"/>
              <w:right w:val="single" w:sz="4" w:space="0" w:color="auto"/>
            </w:tcBorders>
            <w:hideMark/>
          </w:tcPr>
          <w:p w14:paraId="601C260E" w14:textId="77777777" w:rsidR="00851D47" w:rsidRPr="009C49C2"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9C49C2">
              <w:rPr>
                <w:rFonts w:ascii="Noto Sans" w:hAnsi="Noto Sans" w:cs="Noto Sans"/>
                <w:color w:val="000000"/>
                <w:sz w:val="18"/>
                <w:szCs w:val="18"/>
                <w:lang w:val="en-GB"/>
              </w:rPr>
              <w:lastRenderedPageBreak/>
              <w:t>Likely</w:t>
            </w:r>
          </w:p>
        </w:tc>
        <w:tc>
          <w:tcPr>
            <w:tcW w:w="849" w:type="dxa"/>
            <w:tcBorders>
              <w:top w:val="single" w:sz="4" w:space="0" w:color="auto"/>
              <w:left w:val="single" w:sz="4" w:space="0" w:color="auto"/>
              <w:bottom w:val="single" w:sz="4" w:space="0" w:color="auto"/>
              <w:right w:val="single" w:sz="4" w:space="0" w:color="auto"/>
            </w:tcBorders>
            <w:hideMark/>
          </w:tcPr>
          <w:p w14:paraId="32ECE0EC" w14:textId="77777777" w:rsidR="00851D47" w:rsidRPr="009C49C2"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9C49C2">
              <w:rPr>
                <w:rFonts w:ascii="Noto Sans" w:hAnsi="Noto Sans" w:cs="Noto Sans"/>
                <w:color w:val="000000"/>
                <w:sz w:val="18"/>
                <w:szCs w:val="18"/>
                <w:lang w:val="en-GB"/>
              </w:rPr>
              <w:t>Minor</w:t>
            </w:r>
          </w:p>
        </w:tc>
        <w:tc>
          <w:tcPr>
            <w:tcW w:w="2243" w:type="dxa"/>
            <w:tcBorders>
              <w:top w:val="single" w:sz="4" w:space="0" w:color="auto"/>
              <w:left w:val="single" w:sz="4" w:space="0" w:color="auto"/>
              <w:bottom w:val="single" w:sz="4" w:space="0" w:color="auto"/>
              <w:right w:val="single" w:sz="4" w:space="0" w:color="auto"/>
            </w:tcBorders>
            <w:hideMark/>
          </w:tcPr>
          <w:p w14:paraId="447D7E8C" w14:textId="77777777" w:rsidR="00851D47" w:rsidRPr="009C49C2"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9C49C2">
              <w:rPr>
                <w:rFonts w:ascii="Noto Sans" w:hAnsi="Noto Sans" w:cs="Noto Sans"/>
                <w:color w:val="000000"/>
                <w:sz w:val="18"/>
                <w:szCs w:val="18"/>
                <w:lang w:val="en-GB"/>
              </w:rPr>
              <w:t xml:space="preserve">Suspension of funding during </w:t>
            </w:r>
            <w:r w:rsidRPr="009C49C2">
              <w:rPr>
                <w:rFonts w:ascii="Noto Sans" w:hAnsi="Noto Sans" w:cs="Noto Sans"/>
                <w:color w:val="000000"/>
                <w:sz w:val="18"/>
                <w:szCs w:val="18"/>
                <w:lang w:val="en-GB"/>
              </w:rPr>
              <w:lastRenderedPageBreak/>
              <w:t>investigation; explanation to DK constituency of importance of working with national system; possibly introduction of further controls.</w:t>
            </w:r>
          </w:p>
        </w:tc>
        <w:tc>
          <w:tcPr>
            <w:tcW w:w="3260" w:type="dxa"/>
            <w:tcBorders>
              <w:top w:val="single" w:sz="4" w:space="0" w:color="auto"/>
              <w:left w:val="single" w:sz="4" w:space="0" w:color="auto"/>
              <w:bottom w:val="single" w:sz="4" w:space="0" w:color="auto"/>
              <w:right w:val="single" w:sz="4" w:space="0" w:color="auto"/>
            </w:tcBorders>
            <w:hideMark/>
          </w:tcPr>
          <w:p w14:paraId="1D6C9F45" w14:textId="77777777" w:rsidR="00851D47" w:rsidRPr="009C49C2"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9C49C2">
              <w:rPr>
                <w:rFonts w:ascii="Noto Sans" w:hAnsi="Noto Sans" w:cs="Noto Sans"/>
                <w:color w:val="000000"/>
                <w:sz w:val="18"/>
                <w:szCs w:val="18"/>
                <w:lang w:val="en-GB"/>
              </w:rPr>
              <w:lastRenderedPageBreak/>
              <w:t xml:space="preserve">Reputational risks substantially reduced </w:t>
            </w:r>
            <w:r w:rsidRPr="009C49C2">
              <w:rPr>
                <w:rFonts w:ascii="Noto Sans" w:hAnsi="Noto Sans" w:cs="Noto Sans"/>
                <w:color w:val="000000"/>
                <w:sz w:val="18"/>
                <w:szCs w:val="18"/>
                <w:lang w:val="en-GB"/>
              </w:rPr>
              <w:lastRenderedPageBreak/>
              <w:t>as plans are in place for prompt reaction and for information activities; should corruption occur.</w:t>
            </w:r>
          </w:p>
        </w:tc>
        <w:tc>
          <w:tcPr>
            <w:tcW w:w="4848" w:type="dxa"/>
            <w:tcBorders>
              <w:top w:val="single" w:sz="4" w:space="0" w:color="auto"/>
              <w:left w:val="single" w:sz="4" w:space="0" w:color="auto"/>
              <w:bottom w:val="single" w:sz="4" w:space="0" w:color="auto"/>
              <w:right w:val="single" w:sz="4" w:space="0" w:color="auto"/>
            </w:tcBorders>
            <w:hideMark/>
          </w:tcPr>
          <w:p w14:paraId="6B26EECF" w14:textId="77777777" w:rsidR="00851D47" w:rsidRPr="009C49C2" w:rsidRDefault="00851D47" w:rsidP="00851D47">
            <w:pPr>
              <w:autoSpaceDE w:val="0"/>
              <w:autoSpaceDN w:val="0"/>
              <w:adjustRightInd w:val="0"/>
              <w:spacing w:after="0" w:line="240" w:lineRule="auto"/>
              <w:rPr>
                <w:rFonts w:ascii="Noto Sans" w:hAnsi="Noto Sans" w:cs="Noto Sans"/>
                <w:color w:val="000000"/>
                <w:sz w:val="18"/>
                <w:szCs w:val="18"/>
                <w:lang w:val="en-GB"/>
              </w:rPr>
            </w:pPr>
            <w:r w:rsidRPr="009C49C2">
              <w:rPr>
                <w:rFonts w:ascii="Noto Sans" w:hAnsi="Noto Sans" w:cs="Noto Sans"/>
                <w:color w:val="000000"/>
                <w:sz w:val="18"/>
                <w:szCs w:val="18"/>
                <w:lang w:val="en-GB"/>
              </w:rPr>
              <w:lastRenderedPageBreak/>
              <w:t xml:space="preserve">The bulk of our support is close to fully integrated in the </w:t>
            </w:r>
            <w:r w:rsidRPr="009C49C2">
              <w:rPr>
                <w:rFonts w:ascii="Noto Sans" w:hAnsi="Noto Sans" w:cs="Noto Sans"/>
                <w:color w:val="000000"/>
                <w:sz w:val="18"/>
                <w:szCs w:val="18"/>
                <w:lang w:val="en-GB"/>
              </w:rPr>
              <w:lastRenderedPageBreak/>
              <w:t xml:space="preserve">national systems, known to be imperfect. Impact may be more or less serious depending on duration of suspension and need for extra control measures. </w:t>
            </w:r>
          </w:p>
        </w:tc>
      </w:tr>
    </w:tbl>
    <w:p w14:paraId="70E0359D" w14:textId="77777777" w:rsidR="00851D47" w:rsidRPr="009C49C2" w:rsidRDefault="00851D47" w:rsidP="00851D47">
      <w:pPr>
        <w:spacing w:after="80" w:line="240" w:lineRule="auto"/>
        <w:rPr>
          <w:rFonts w:ascii="Noto Sans" w:hAnsi="Noto Sans" w:cs="Noto Sans"/>
          <w:sz w:val="16"/>
          <w:szCs w:val="16"/>
          <w:lang w:val="en-GB"/>
        </w:rPr>
      </w:pPr>
    </w:p>
    <w:p w14:paraId="6475B115" w14:textId="77777777" w:rsidR="00851D47" w:rsidRPr="009C49C2" w:rsidRDefault="00851D47" w:rsidP="00851D47">
      <w:pPr>
        <w:spacing w:after="80" w:line="240" w:lineRule="auto"/>
        <w:rPr>
          <w:rFonts w:ascii="Noto Sans" w:hAnsi="Noto Sans" w:cs="Noto Sans"/>
          <w:sz w:val="16"/>
          <w:szCs w:val="16"/>
          <w:lang w:val="en-GB"/>
        </w:rPr>
      </w:pPr>
      <w:r w:rsidRPr="009C49C2">
        <w:rPr>
          <w:rFonts w:ascii="Noto Sans" w:hAnsi="Noto Sans" w:cs="Noto Sans"/>
          <w:b/>
          <w:bCs/>
          <w:color w:val="FFFFFF" w:themeColor="background1"/>
          <w:sz w:val="24"/>
          <w:szCs w:val="24"/>
          <w:lang w:val="en-GB"/>
        </w:rPr>
        <w:t xml:space="preserve"> </w:t>
      </w:r>
    </w:p>
    <w:p w14:paraId="26AEBD4C" w14:textId="77777777" w:rsidR="007D2987" w:rsidRPr="009C49C2" w:rsidRDefault="007D2987">
      <w:pPr>
        <w:rPr>
          <w:rFonts w:ascii="Noto Sans" w:hAnsi="Noto Sans" w:cs="Noto Sans"/>
          <w:lang w:val="en-GB"/>
        </w:rPr>
      </w:pPr>
    </w:p>
    <w:sectPr w:rsidR="007D2987" w:rsidRPr="009C49C2" w:rsidSect="00793C5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145A" w14:textId="77777777" w:rsidR="004E3F61" w:rsidRDefault="004E3F61" w:rsidP="00774555">
      <w:pPr>
        <w:spacing w:after="0" w:line="240" w:lineRule="auto"/>
      </w:pPr>
      <w:r>
        <w:separator/>
      </w:r>
    </w:p>
  </w:endnote>
  <w:endnote w:type="continuationSeparator" w:id="0">
    <w:p w14:paraId="739C9F5B" w14:textId="77777777" w:rsidR="004E3F61" w:rsidRDefault="004E3F61" w:rsidP="0077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erif">
    <w:charset w:val="00"/>
    <w:family w:val="roman"/>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8578" w14:textId="77777777" w:rsidR="003A7DF3" w:rsidRDefault="003A7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700066"/>
      <w:docPartObj>
        <w:docPartGallery w:val="Page Numbers (Bottom of Page)"/>
        <w:docPartUnique/>
      </w:docPartObj>
    </w:sdtPr>
    <w:sdtEndPr>
      <w:rPr>
        <w:rFonts w:ascii="Noto Sans" w:hAnsi="Noto Sans" w:cs="Noto Sans"/>
        <w:noProof/>
        <w:sz w:val="22"/>
        <w:szCs w:val="22"/>
      </w:rPr>
    </w:sdtEndPr>
    <w:sdtContent>
      <w:p w14:paraId="4A89D6A2" w14:textId="6FF6A2D0" w:rsidR="00870FFD" w:rsidRPr="007830F7" w:rsidRDefault="00870FFD">
        <w:pPr>
          <w:pStyle w:val="Footer"/>
          <w:jc w:val="right"/>
          <w:rPr>
            <w:rFonts w:ascii="Noto Sans" w:hAnsi="Noto Sans" w:cs="Noto Sans"/>
            <w:sz w:val="22"/>
            <w:szCs w:val="22"/>
          </w:rPr>
        </w:pPr>
        <w:r w:rsidRPr="007830F7">
          <w:rPr>
            <w:rFonts w:ascii="Noto Sans" w:hAnsi="Noto Sans" w:cs="Noto Sans"/>
            <w:sz w:val="24"/>
            <w:szCs w:val="24"/>
          </w:rPr>
          <w:fldChar w:fldCharType="begin"/>
        </w:r>
        <w:r w:rsidRPr="007830F7">
          <w:rPr>
            <w:rFonts w:ascii="Noto Sans" w:hAnsi="Noto Sans" w:cs="Noto Sans"/>
            <w:sz w:val="24"/>
            <w:szCs w:val="24"/>
          </w:rPr>
          <w:instrText xml:space="preserve"> PAGE   \* MERGEFORMAT </w:instrText>
        </w:r>
        <w:r w:rsidRPr="007830F7">
          <w:rPr>
            <w:rFonts w:ascii="Noto Sans" w:hAnsi="Noto Sans" w:cs="Noto Sans"/>
            <w:sz w:val="24"/>
            <w:szCs w:val="24"/>
          </w:rPr>
          <w:fldChar w:fldCharType="separate"/>
        </w:r>
        <w:r w:rsidRPr="007830F7">
          <w:rPr>
            <w:rFonts w:ascii="Noto Sans" w:hAnsi="Noto Sans" w:cs="Noto Sans"/>
            <w:noProof/>
            <w:sz w:val="24"/>
            <w:szCs w:val="24"/>
          </w:rPr>
          <w:t>2</w:t>
        </w:r>
        <w:r w:rsidRPr="007830F7">
          <w:rPr>
            <w:rFonts w:ascii="Noto Sans" w:hAnsi="Noto Sans" w:cs="Noto Sans"/>
            <w:noProof/>
            <w:sz w:val="24"/>
            <w:szCs w:val="24"/>
          </w:rPr>
          <w:fldChar w:fldCharType="end"/>
        </w:r>
      </w:p>
    </w:sdtContent>
  </w:sdt>
  <w:p w14:paraId="2F8AE898" w14:textId="77777777" w:rsidR="00774555" w:rsidRDefault="00774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E3DC" w14:textId="77777777" w:rsidR="003A7DF3" w:rsidRDefault="003A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D1EC" w14:textId="77777777" w:rsidR="004E3F61" w:rsidRDefault="004E3F61" w:rsidP="00774555">
      <w:pPr>
        <w:spacing w:after="0" w:line="240" w:lineRule="auto"/>
      </w:pPr>
      <w:r>
        <w:separator/>
      </w:r>
    </w:p>
  </w:footnote>
  <w:footnote w:type="continuationSeparator" w:id="0">
    <w:p w14:paraId="1DBC0E21" w14:textId="77777777" w:rsidR="004E3F61" w:rsidRDefault="004E3F61" w:rsidP="00774555">
      <w:pPr>
        <w:spacing w:after="0" w:line="240" w:lineRule="auto"/>
      </w:pPr>
      <w:r>
        <w:continuationSeparator/>
      </w:r>
    </w:p>
  </w:footnote>
  <w:footnote w:id="1">
    <w:p w14:paraId="02FA0091" w14:textId="08C071F9" w:rsidR="00B843F4" w:rsidRPr="00B50BB3" w:rsidRDefault="00B843F4">
      <w:pPr>
        <w:pStyle w:val="FootnoteText"/>
        <w:rPr>
          <w:rFonts w:ascii="Garamond" w:hAnsi="Garamond"/>
          <w:sz w:val="18"/>
          <w:szCs w:val="18"/>
          <w:lang w:val="en-GB"/>
        </w:rPr>
      </w:pPr>
      <w:r>
        <w:rPr>
          <w:rStyle w:val="FootnoteReference"/>
        </w:rPr>
        <w:footnoteRef/>
      </w:r>
      <w:r w:rsidRPr="00B50BB3">
        <w:rPr>
          <w:lang w:val="en-GB"/>
        </w:rPr>
        <w:t xml:space="preserve"> </w:t>
      </w:r>
      <w:r w:rsidRPr="00B50BB3">
        <w:rPr>
          <w:rFonts w:ascii="Garamond" w:hAnsi="Garamond"/>
          <w:sz w:val="18"/>
          <w:szCs w:val="18"/>
          <w:lang w:val="en-GB"/>
        </w:rPr>
        <w:t xml:space="preserve">See this website for further information: </w:t>
      </w:r>
      <w:hyperlink r:id="rId1" w:history="1">
        <w:r w:rsidRPr="00B50BB3">
          <w:rPr>
            <w:rStyle w:val="Hyperlink"/>
            <w:rFonts w:ascii="Garamond" w:hAnsi="Garamond"/>
            <w:sz w:val="18"/>
            <w:szCs w:val="18"/>
            <w:lang w:val="en-GB"/>
          </w:rPr>
          <w:t>Fragility Risk and Resilience Analysis Tool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5031" w14:textId="77777777" w:rsidR="003A7DF3" w:rsidRDefault="003A7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E685" w14:textId="77777777" w:rsidR="003A7DF3" w:rsidRDefault="003A7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DA42" w14:textId="77777777" w:rsidR="003A7DF3" w:rsidRDefault="003A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075F"/>
    <w:multiLevelType w:val="hybridMultilevel"/>
    <w:tmpl w:val="EEE20EBC"/>
    <w:lvl w:ilvl="0" w:tplc="B48AB62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3C15B7B"/>
    <w:multiLevelType w:val="hybridMultilevel"/>
    <w:tmpl w:val="A574CE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CE56686"/>
    <w:multiLevelType w:val="hybridMultilevel"/>
    <w:tmpl w:val="BE6A6C68"/>
    <w:lvl w:ilvl="0" w:tplc="0809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47"/>
    <w:rsid w:val="000839BA"/>
    <w:rsid w:val="000D214E"/>
    <w:rsid w:val="000F6AFC"/>
    <w:rsid w:val="00124987"/>
    <w:rsid w:val="00126374"/>
    <w:rsid w:val="00357AE8"/>
    <w:rsid w:val="003A7DF3"/>
    <w:rsid w:val="003C2D7E"/>
    <w:rsid w:val="004E3F61"/>
    <w:rsid w:val="0055206B"/>
    <w:rsid w:val="00663D3E"/>
    <w:rsid w:val="0066501A"/>
    <w:rsid w:val="0072588A"/>
    <w:rsid w:val="00742445"/>
    <w:rsid w:val="00770C2A"/>
    <w:rsid w:val="00774555"/>
    <w:rsid w:val="007830F7"/>
    <w:rsid w:val="00793C54"/>
    <w:rsid w:val="007D2987"/>
    <w:rsid w:val="00837877"/>
    <w:rsid w:val="00851D47"/>
    <w:rsid w:val="00862798"/>
    <w:rsid w:val="00870FFD"/>
    <w:rsid w:val="008B0905"/>
    <w:rsid w:val="008B2D5C"/>
    <w:rsid w:val="008D475E"/>
    <w:rsid w:val="008E6961"/>
    <w:rsid w:val="009544C8"/>
    <w:rsid w:val="009C49C2"/>
    <w:rsid w:val="00B50BB3"/>
    <w:rsid w:val="00B65F75"/>
    <w:rsid w:val="00B843F4"/>
    <w:rsid w:val="00BD1267"/>
    <w:rsid w:val="00EF3E5F"/>
    <w:rsid w:val="00F01B26"/>
    <w:rsid w:val="00F762D7"/>
    <w:rsid w:val="00FC784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F2C5"/>
  <w15:chartTrackingRefBased/>
  <w15:docId w15:val="{2D9CA182-5DBC-4619-9A5A-8552799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55"/>
    <w:pPr>
      <w:tabs>
        <w:tab w:val="center" w:pos="4819"/>
        <w:tab w:val="right" w:pos="9638"/>
      </w:tabs>
      <w:spacing w:after="0" w:line="240" w:lineRule="auto"/>
    </w:pPr>
  </w:style>
  <w:style w:type="character" w:customStyle="1" w:styleId="HeaderChar">
    <w:name w:val="Header Char"/>
    <w:basedOn w:val="DefaultParagraphFont"/>
    <w:link w:val="Header"/>
    <w:uiPriority w:val="99"/>
    <w:rsid w:val="00774555"/>
  </w:style>
  <w:style w:type="paragraph" w:styleId="Footer">
    <w:name w:val="footer"/>
    <w:basedOn w:val="Normal"/>
    <w:link w:val="FooterChar"/>
    <w:uiPriority w:val="99"/>
    <w:unhideWhenUsed/>
    <w:rsid w:val="00774555"/>
    <w:pPr>
      <w:tabs>
        <w:tab w:val="center" w:pos="4819"/>
        <w:tab w:val="right" w:pos="9638"/>
      </w:tabs>
      <w:spacing w:after="0" w:line="240" w:lineRule="auto"/>
    </w:pPr>
  </w:style>
  <w:style w:type="character" w:customStyle="1" w:styleId="FooterChar">
    <w:name w:val="Footer Char"/>
    <w:basedOn w:val="DefaultParagraphFont"/>
    <w:link w:val="Footer"/>
    <w:uiPriority w:val="99"/>
    <w:rsid w:val="00774555"/>
  </w:style>
  <w:style w:type="table" w:styleId="TableGrid">
    <w:name w:val="Table Grid"/>
    <w:basedOn w:val="TableNormal"/>
    <w:uiPriority w:val="39"/>
    <w:rsid w:val="0079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arbejdet">
    <w:name w:val="Udarbejdet"/>
    <w:basedOn w:val="Normal"/>
    <w:semiHidden/>
    <w:qFormat/>
    <w:rsid w:val="00793C54"/>
    <w:pPr>
      <w:spacing w:after="0" w:line="260" w:lineRule="atLeast"/>
      <w:jc w:val="right"/>
    </w:pPr>
    <w:rPr>
      <w:rFonts w:ascii="Noto Serif" w:hAnsi="Noto Serif" w:cs="Segoe UI"/>
      <w:i/>
      <w:sz w:val="24"/>
    </w:rPr>
  </w:style>
  <w:style w:type="paragraph" w:customStyle="1" w:styleId="Forsidedato">
    <w:name w:val="Forsidedato"/>
    <w:basedOn w:val="Normal"/>
    <w:next w:val="Normal"/>
    <w:semiHidden/>
    <w:qFormat/>
    <w:rsid w:val="00793C54"/>
    <w:pPr>
      <w:spacing w:after="0" w:line="260" w:lineRule="atLeast"/>
      <w:jc w:val="right"/>
    </w:pPr>
    <w:rPr>
      <w:rFonts w:ascii="Diplomacy Office Bold" w:hAnsi="Diplomacy Office Bold" w:cs="Segoe UI"/>
      <w:color w:val="C0504D" w:themeColor="accent2"/>
      <w:sz w:val="18"/>
    </w:rPr>
  </w:style>
  <w:style w:type="paragraph" w:customStyle="1" w:styleId="Billedfelt">
    <w:name w:val="Billedfelt"/>
    <w:basedOn w:val="Normal"/>
    <w:uiPriority w:val="3"/>
    <w:semiHidden/>
    <w:qFormat/>
    <w:rsid w:val="00793C54"/>
    <w:pPr>
      <w:spacing w:after="0" w:line="240" w:lineRule="auto"/>
    </w:pPr>
    <w:rPr>
      <w:rFonts w:ascii="Noto Sans" w:hAnsi="Noto Sans" w:cs="Segoe UI"/>
      <w:sz w:val="18"/>
    </w:rPr>
  </w:style>
  <w:style w:type="character" w:styleId="CommentReference">
    <w:name w:val="annotation reference"/>
    <w:basedOn w:val="DefaultParagraphFont"/>
    <w:uiPriority w:val="99"/>
    <w:semiHidden/>
    <w:unhideWhenUsed/>
    <w:rsid w:val="0055206B"/>
    <w:rPr>
      <w:sz w:val="16"/>
      <w:szCs w:val="16"/>
    </w:rPr>
  </w:style>
  <w:style w:type="paragraph" w:styleId="CommentText">
    <w:name w:val="annotation text"/>
    <w:basedOn w:val="Normal"/>
    <w:link w:val="CommentTextChar"/>
    <w:uiPriority w:val="99"/>
    <w:semiHidden/>
    <w:unhideWhenUsed/>
    <w:rsid w:val="0055206B"/>
    <w:pPr>
      <w:spacing w:line="240" w:lineRule="auto"/>
    </w:pPr>
  </w:style>
  <w:style w:type="character" w:customStyle="1" w:styleId="CommentTextChar">
    <w:name w:val="Comment Text Char"/>
    <w:basedOn w:val="DefaultParagraphFont"/>
    <w:link w:val="CommentText"/>
    <w:uiPriority w:val="99"/>
    <w:semiHidden/>
    <w:rsid w:val="0055206B"/>
  </w:style>
  <w:style w:type="paragraph" w:styleId="CommentSubject">
    <w:name w:val="annotation subject"/>
    <w:basedOn w:val="CommentText"/>
    <w:next w:val="CommentText"/>
    <w:link w:val="CommentSubjectChar"/>
    <w:uiPriority w:val="99"/>
    <w:semiHidden/>
    <w:unhideWhenUsed/>
    <w:rsid w:val="0055206B"/>
    <w:rPr>
      <w:b/>
      <w:bCs/>
    </w:rPr>
  </w:style>
  <w:style w:type="character" w:customStyle="1" w:styleId="CommentSubjectChar">
    <w:name w:val="Comment Subject Char"/>
    <w:basedOn w:val="CommentTextChar"/>
    <w:link w:val="CommentSubject"/>
    <w:uiPriority w:val="99"/>
    <w:semiHidden/>
    <w:rsid w:val="0055206B"/>
    <w:rPr>
      <w:b/>
      <w:bCs/>
    </w:rPr>
  </w:style>
  <w:style w:type="paragraph" w:styleId="FootnoteText">
    <w:name w:val="footnote text"/>
    <w:basedOn w:val="Normal"/>
    <w:link w:val="FootnoteTextChar"/>
    <w:uiPriority w:val="99"/>
    <w:semiHidden/>
    <w:unhideWhenUsed/>
    <w:rsid w:val="00B843F4"/>
    <w:pPr>
      <w:spacing w:after="0" w:line="240" w:lineRule="auto"/>
    </w:pPr>
  </w:style>
  <w:style w:type="character" w:customStyle="1" w:styleId="FootnoteTextChar">
    <w:name w:val="Footnote Text Char"/>
    <w:basedOn w:val="DefaultParagraphFont"/>
    <w:link w:val="FootnoteText"/>
    <w:uiPriority w:val="99"/>
    <w:semiHidden/>
    <w:rsid w:val="00B843F4"/>
  </w:style>
  <w:style w:type="character" w:styleId="FootnoteReference">
    <w:name w:val="footnote reference"/>
    <w:basedOn w:val="DefaultParagraphFont"/>
    <w:uiPriority w:val="99"/>
    <w:semiHidden/>
    <w:unhideWhenUsed/>
    <w:rsid w:val="00B843F4"/>
    <w:rPr>
      <w:vertAlign w:val="superscript"/>
    </w:rPr>
  </w:style>
  <w:style w:type="character" w:styleId="Hyperlink">
    <w:name w:val="Hyperlink"/>
    <w:basedOn w:val="DefaultParagraphFont"/>
    <w:uiPriority w:val="99"/>
    <w:semiHidden/>
    <w:unhideWhenUsed/>
    <w:rsid w:val="00B843F4"/>
    <w:rPr>
      <w:color w:val="0000FF"/>
      <w:u w:val="single"/>
    </w:rPr>
  </w:style>
  <w:style w:type="paragraph" w:styleId="Revision">
    <w:name w:val="Revision"/>
    <w:hidden/>
    <w:uiPriority w:val="99"/>
    <w:semiHidden/>
    <w:rsid w:val="000F6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mg.um.dk/tools/fragility-risk-and-resilience-analysis-too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1651</Words>
  <Characters>9416</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Wendt</dc:creator>
  <cp:keywords/>
  <dc:description/>
  <cp:lastModifiedBy>Marie My Warborg Larsen</cp:lastModifiedBy>
  <cp:revision>4</cp:revision>
  <cp:lastPrinted>2025-02-28T14:15:00Z</cp:lastPrinted>
  <dcterms:created xsi:type="dcterms:W3CDTF">2025-07-23T13:44:00Z</dcterms:created>
  <dcterms:modified xsi:type="dcterms:W3CDTF">2025-07-24T12:40:00Z</dcterms:modified>
</cp:coreProperties>
</file>