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0280" w14:textId="1DD2ED2B" w:rsidR="00A62171" w:rsidRPr="00D147C8" w:rsidRDefault="00A62171" w:rsidP="00A62171">
      <w:pPr>
        <w:rPr>
          <w:rFonts w:ascii="Garamond" w:hAnsi="Garamond"/>
          <w:sz w:val="28"/>
          <w:szCs w:val="28"/>
          <w:lang w:val="en-GB"/>
        </w:rPr>
      </w:pPr>
      <w:r w:rsidRPr="00D147C8">
        <w:rPr>
          <w:rFonts w:ascii="Garamond" w:hAnsi="Garamond"/>
          <w:b/>
          <w:bCs/>
          <w:sz w:val="28"/>
          <w:szCs w:val="28"/>
          <w:lang w:val="en-GB"/>
        </w:rPr>
        <w:t>Guid</w:t>
      </w:r>
      <w:r w:rsidR="00FB0790">
        <w:rPr>
          <w:rFonts w:ascii="Garamond" w:hAnsi="Garamond"/>
          <w:b/>
          <w:bCs/>
          <w:sz w:val="28"/>
          <w:szCs w:val="28"/>
          <w:lang w:val="en-GB"/>
        </w:rPr>
        <w:t xml:space="preserve">elines for </w:t>
      </w:r>
      <w:r w:rsidRPr="00D147C8">
        <w:rPr>
          <w:rFonts w:ascii="Garamond" w:hAnsi="Garamond"/>
          <w:b/>
          <w:bCs/>
          <w:sz w:val="28"/>
          <w:szCs w:val="28"/>
          <w:lang w:val="en-GB"/>
        </w:rPr>
        <w:t xml:space="preserve">top ups (additional funding) to existing engagements </w:t>
      </w:r>
    </w:p>
    <w:p w14:paraId="2046DF0A" w14:textId="77777777" w:rsidR="00A62171" w:rsidRPr="00A62171" w:rsidRDefault="00A62171" w:rsidP="00A62171">
      <w:pPr>
        <w:rPr>
          <w:rFonts w:ascii="Garamond" w:hAnsi="Garamond"/>
          <w:sz w:val="26"/>
          <w:szCs w:val="26"/>
          <w:lang w:val="en-GB"/>
        </w:rPr>
      </w:pPr>
      <w:r w:rsidRPr="00A62171">
        <w:rPr>
          <w:rFonts w:ascii="Garamond" w:hAnsi="Garamond"/>
          <w:sz w:val="26"/>
          <w:szCs w:val="26"/>
          <w:lang w:val="en-GB"/>
        </w:rPr>
        <w:t>A top up is defined as additional funding to an on-going engagement with an existing partner in pursuit of the same objective.</w:t>
      </w:r>
    </w:p>
    <w:p w14:paraId="59E743BF" w14:textId="77777777" w:rsidR="00A62171" w:rsidRPr="00A62171" w:rsidRDefault="00A62171" w:rsidP="00A62171">
      <w:pPr>
        <w:rPr>
          <w:rFonts w:ascii="Garamond" w:hAnsi="Garamond"/>
          <w:sz w:val="26"/>
          <w:szCs w:val="26"/>
          <w:lang w:val="en-GB"/>
        </w:rPr>
      </w:pPr>
      <w:r w:rsidRPr="00A62171">
        <w:rPr>
          <w:rFonts w:ascii="Garamond" w:hAnsi="Garamond"/>
          <w:sz w:val="26"/>
          <w:szCs w:val="26"/>
          <w:lang w:val="en-GB"/>
        </w:rPr>
        <w:t xml:space="preserve">The following guidance for top ups is applicable to funding of: </w:t>
      </w:r>
    </w:p>
    <w:p w14:paraId="181ECA4F" w14:textId="77777777" w:rsidR="00A62171" w:rsidRPr="00A62171" w:rsidRDefault="00A62171" w:rsidP="00A62171">
      <w:pPr>
        <w:pStyle w:val="Listeafsnit"/>
        <w:numPr>
          <w:ilvl w:val="0"/>
          <w:numId w:val="6"/>
        </w:numPr>
        <w:rPr>
          <w:rFonts w:ascii="Garamond" w:hAnsi="Garamond"/>
          <w:sz w:val="26"/>
          <w:szCs w:val="26"/>
          <w:lang w:val="en-GB"/>
        </w:rPr>
      </w:pPr>
      <w:r w:rsidRPr="00A62171">
        <w:rPr>
          <w:rFonts w:ascii="Garamond" w:hAnsi="Garamond"/>
          <w:sz w:val="26"/>
          <w:szCs w:val="26"/>
          <w:lang w:val="en-GB"/>
        </w:rPr>
        <w:t xml:space="preserve">Bilateral projects, including hard earmarked multilateral support; </w:t>
      </w:r>
    </w:p>
    <w:p w14:paraId="7043FCF5" w14:textId="77777777" w:rsidR="00A62171" w:rsidRPr="00A62171" w:rsidRDefault="00A62171" w:rsidP="00A62171">
      <w:pPr>
        <w:pStyle w:val="Listeafsnit"/>
        <w:numPr>
          <w:ilvl w:val="0"/>
          <w:numId w:val="6"/>
        </w:numPr>
        <w:rPr>
          <w:rFonts w:ascii="Garamond" w:hAnsi="Garamond"/>
          <w:sz w:val="26"/>
          <w:szCs w:val="26"/>
          <w:lang w:val="en-GB"/>
        </w:rPr>
      </w:pPr>
      <w:r w:rsidRPr="00A62171">
        <w:rPr>
          <w:rFonts w:ascii="Garamond" w:hAnsi="Garamond"/>
          <w:sz w:val="26"/>
          <w:szCs w:val="26"/>
          <w:lang w:val="en-GB"/>
        </w:rPr>
        <w:t xml:space="preserve">Multilateral core support, including soft earmarked support usually formulated in an organisation strategy; </w:t>
      </w:r>
    </w:p>
    <w:p w14:paraId="7B4C2F0C" w14:textId="77777777" w:rsidR="00A62171" w:rsidRPr="00A62171" w:rsidRDefault="00A62171" w:rsidP="00A62171">
      <w:pPr>
        <w:pStyle w:val="Listeafsnit"/>
        <w:numPr>
          <w:ilvl w:val="0"/>
          <w:numId w:val="6"/>
        </w:numPr>
        <w:rPr>
          <w:rFonts w:ascii="Garamond" w:hAnsi="Garamond"/>
          <w:sz w:val="26"/>
          <w:szCs w:val="26"/>
          <w:lang w:val="en-GB"/>
        </w:rPr>
      </w:pPr>
      <w:r w:rsidRPr="00A62171">
        <w:rPr>
          <w:rFonts w:ascii="Garamond" w:hAnsi="Garamond"/>
          <w:sz w:val="26"/>
          <w:szCs w:val="26"/>
          <w:lang w:val="en-GB"/>
        </w:rPr>
        <w:t xml:space="preserve">Trust Funds. </w:t>
      </w:r>
    </w:p>
    <w:p w14:paraId="34B5DCDE" w14:textId="77777777" w:rsidR="00A62171" w:rsidRPr="00A62171" w:rsidRDefault="00A62171" w:rsidP="00A62171">
      <w:pPr>
        <w:jc w:val="both"/>
        <w:rPr>
          <w:rFonts w:ascii="Garamond" w:hAnsi="Garamond"/>
          <w:sz w:val="26"/>
          <w:szCs w:val="26"/>
          <w:lang w:val="en-GB"/>
        </w:rPr>
      </w:pPr>
      <w:r w:rsidRPr="00A62171">
        <w:rPr>
          <w:rFonts w:ascii="Garamond" w:hAnsi="Garamond"/>
          <w:sz w:val="26"/>
          <w:szCs w:val="26"/>
          <w:lang w:val="en-GB"/>
        </w:rPr>
        <w:t xml:space="preserve">The different types of support are collectively described as “support” in this guidance note and the responsible unit submitting the proposal is referred to as “the Unit”. Please note that top ups under the strategic partner agreements (SPA) follow separate guidelines. </w:t>
      </w:r>
    </w:p>
    <w:p w14:paraId="3FE6EDB7" w14:textId="77777777" w:rsidR="00A62171" w:rsidRPr="00A62171" w:rsidRDefault="00A62171" w:rsidP="00A62171">
      <w:pPr>
        <w:jc w:val="both"/>
        <w:rPr>
          <w:rFonts w:ascii="Garamond" w:hAnsi="Garamond"/>
          <w:sz w:val="26"/>
          <w:szCs w:val="26"/>
          <w:lang w:val="en-GB"/>
        </w:rPr>
      </w:pPr>
      <w:bookmarkStart w:id="0" w:name="_Hlk190346804"/>
      <w:r w:rsidRPr="00A62171">
        <w:rPr>
          <w:rFonts w:ascii="Garamond" w:hAnsi="Garamond"/>
          <w:sz w:val="26"/>
          <w:szCs w:val="26"/>
          <w:lang w:val="en-GB"/>
        </w:rPr>
        <w:t xml:space="preserve">The top up can be granted </w:t>
      </w:r>
      <w:bookmarkEnd w:id="0"/>
      <w:r w:rsidRPr="00A62171">
        <w:rPr>
          <w:rFonts w:ascii="Garamond" w:hAnsi="Garamond"/>
          <w:sz w:val="26"/>
          <w:szCs w:val="26"/>
          <w:lang w:val="en-GB"/>
        </w:rPr>
        <w:t>for the same period of time as stipulated in the original support documentation or as a costed extension where the duration is also extended or finally, where the top up is provided for a bridging phase between two support phases.</w:t>
      </w:r>
    </w:p>
    <w:p w14:paraId="193A60BF" w14:textId="77777777" w:rsidR="00A62171" w:rsidRPr="00A62171" w:rsidRDefault="00A62171" w:rsidP="00A62171">
      <w:pPr>
        <w:jc w:val="both"/>
        <w:rPr>
          <w:rFonts w:ascii="Garamond" w:hAnsi="Garamond"/>
          <w:sz w:val="26"/>
          <w:szCs w:val="26"/>
          <w:lang w:val="en-GB"/>
        </w:rPr>
      </w:pPr>
      <w:r w:rsidRPr="00A62171">
        <w:rPr>
          <w:rFonts w:ascii="Garamond" w:hAnsi="Garamond"/>
          <w:sz w:val="26"/>
          <w:szCs w:val="26"/>
          <w:lang w:val="en-GB"/>
        </w:rPr>
        <w:t xml:space="preserve">If </w:t>
      </w:r>
      <w:proofErr w:type="gramStart"/>
      <w:r w:rsidRPr="00A62171">
        <w:rPr>
          <w:rFonts w:ascii="Garamond" w:hAnsi="Garamond"/>
          <w:sz w:val="26"/>
          <w:szCs w:val="26"/>
          <w:lang w:val="en-GB"/>
        </w:rPr>
        <w:t>a</w:t>
      </w:r>
      <w:proofErr w:type="gramEnd"/>
      <w:r w:rsidRPr="00A62171">
        <w:rPr>
          <w:rFonts w:ascii="Garamond" w:hAnsi="Garamond"/>
          <w:sz w:val="26"/>
          <w:szCs w:val="26"/>
          <w:lang w:val="en-GB"/>
        </w:rPr>
        <w:t xml:space="preserve"> MTR is planned and a top up is considered, the Unit should make the proposal for a top up part of the documentation for the MTR and follow the recommendation from the MTR regarding the proposed top up.      </w:t>
      </w:r>
    </w:p>
    <w:p w14:paraId="6F9E3C00" w14:textId="77777777" w:rsidR="00A62171" w:rsidRPr="00A62171" w:rsidRDefault="00A62171" w:rsidP="00A62171">
      <w:pPr>
        <w:jc w:val="both"/>
        <w:rPr>
          <w:rFonts w:ascii="Garamond" w:hAnsi="Garamond"/>
          <w:sz w:val="26"/>
          <w:szCs w:val="26"/>
          <w:lang w:val="en-GB"/>
        </w:rPr>
      </w:pPr>
      <w:r w:rsidRPr="00A62171">
        <w:rPr>
          <w:rFonts w:ascii="Garamond" w:hAnsi="Garamond"/>
          <w:sz w:val="26"/>
          <w:szCs w:val="26"/>
          <w:lang w:val="en-GB"/>
        </w:rPr>
        <w:t>The funding for the top up must have its legal basis in the Finance Act or an Application for funding for the Finance Committee (</w:t>
      </w:r>
      <w:proofErr w:type="spellStart"/>
      <w:r w:rsidRPr="00A62171">
        <w:rPr>
          <w:rFonts w:ascii="Garamond" w:hAnsi="Garamond"/>
          <w:sz w:val="26"/>
          <w:szCs w:val="26"/>
          <w:lang w:val="en-GB"/>
        </w:rPr>
        <w:t>Aktstykke</w:t>
      </w:r>
      <w:proofErr w:type="spellEnd"/>
      <w:r w:rsidRPr="00A62171">
        <w:rPr>
          <w:rFonts w:ascii="Garamond" w:hAnsi="Garamond"/>
          <w:sz w:val="26"/>
          <w:szCs w:val="26"/>
          <w:lang w:val="en-GB"/>
        </w:rPr>
        <w:t xml:space="preserve">).  </w:t>
      </w:r>
    </w:p>
    <w:p w14:paraId="2470CA2E" w14:textId="77777777" w:rsidR="00A62171" w:rsidRPr="00A62171" w:rsidRDefault="00A62171" w:rsidP="00A62171">
      <w:pPr>
        <w:jc w:val="both"/>
        <w:rPr>
          <w:rFonts w:ascii="Garamond" w:hAnsi="Garamond"/>
          <w:sz w:val="26"/>
          <w:szCs w:val="26"/>
          <w:lang w:val="en-GB"/>
        </w:rPr>
      </w:pPr>
      <w:r w:rsidRPr="00A62171">
        <w:rPr>
          <w:rFonts w:ascii="Garamond" w:hAnsi="Garamond"/>
          <w:sz w:val="26"/>
          <w:szCs w:val="26"/>
          <w:lang w:val="en-GB"/>
        </w:rPr>
        <w:t xml:space="preserve">Engagements that have been subject to a competitive process, i.e., via a call for proposal or a tender process, are only eligible for top up if the possibility of top-up without additional process was explicitly mentioned in the original call for proposal/tender documentation.  </w:t>
      </w:r>
    </w:p>
    <w:p w14:paraId="16091C0F" w14:textId="77777777" w:rsidR="00A62171" w:rsidRPr="00A62171" w:rsidRDefault="00A62171" w:rsidP="00A62171">
      <w:pPr>
        <w:jc w:val="both"/>
        <w:rPr>
          <w:rFonts w:ascii="Garamond" w:hAnsi="Garamond"/>
          <w:sz w:val="26"/>
          <w:szCs w:val="26"/>
          <w:lang w:val="en-GB"/>
        </w:rPr>
      </w:pPr>
      <w:r w:rsidRPr="00A62171">
        <w:rPr>
          <w:rFonts w:ascii="Garamond" w:hAnsi="Garamond"/>
          <w:sz w:val="26"/>
          <w:szCs w:val="26"/>
          <w:lang w:val="en-GB"/>
        </w:rPr>
        <w:t xml:space="preserve">Top ups can only be granted once.  </w:t>
      </w:r>
    </w:p>
    <w:p w14:paraId="11B96325" w14:textId="19520FDC" w:rsidR="00A62171" w:rsidRPr="00A62171" w:rsidRDefault="00A62171" w:rsidP="00A62171">
      <w:pPr>
        <w:jc w:val="both"/>
        <w:rPr>
          <w:rFonts w:ascii="Garamond" w:hAnsi="Garamond"/>
          <w:sz w:val="26"/>
          <w:szCs w:val="26"/>
          <w:lang w:val="en-GB"/>
        </w:rPr>
      </w:pPr>
      <w:r w:rsidRPr="00A62171">
        <w:rPr>
          <w:rFonts w:ascii="Garamond" w:hAnsi="Garamond"/>
          <w:sz w:val="26"/>
          <w:szCs w:val="26"/>
          <w:lang w:val="en-GB"/>
        </w:rPr>
        <w:t xml:space="preserve">Top ups are approved without presentation to internal or external quality assurance bodies. </w:t>
      </w:r>
    </w:p>
    <w:p w14:paraId="101D3A44" w14:textId="77777777" w:rsidR="00A62171" w:rsidRPr="00A62171" w:rsidRDefault="00A62171" w:rsidP="00A62171">
      <w:pPr>
        <w:jc w:val="both"/>
        <w:rPr>
          <w:rFonts w:ascii="Garamond" w:hAnsi="Garamond"/>
          <w:sz w:val="26"/>
          <w:szCs w:val="26"/>
          <w:u w:val="single"/>
          <w:lang w:val="en-GB"/>
        </w:rPr>
      </w:pPr>
      <w:r w:rsidRPr="00A62171">
        <w:rPr>
          <w:rFonts w:ascii="Garamond" w:hAnsi="Garamond"/>
          <w:sz w:val="26"/>
          <w:szCs w:val="26"/>
          <w:u w:val="single"/>
          <w:lang w:val="en-GB"/>
        </w:rPr>
        <w:t>Further criteria that have to be met for top ups are:</w:t>
      </w:r>
    </w:p>
    <w:p w14:paraId="4C51028B" w14:textId="77777777" w:rsidR="00A62171" w:rsidRPr="00A62171" w:rsidRDefault="00A62171" w:rsidP="00A62171">
      <w:pPr>
        <w:pStyle w:val="Listeafsnit"/>
        <w:numPr>
          <w:ilvl w:val="0"/>
          <w:numId w:val="4"/>
        </w:numPr>
        <w:jc w:val="both"/>
        <w:rPr>
          <w:rFonts w:ascii="Garamond" w:hAnsi="Garamond"/>
          <w:sz w:val="26"/>
          <w:szCs w:val="26"/>
          <w:lang w:val="en-GB"/>
        </w:rPr>
      </w:pPr>
      <w:r w:rsidRPr="00A62171">
        <w:rPr>
          <w:rFonts w:ascii="Garamond" w:hAnsi="Garamond"/>
          <w:sz w:val="26"/>
          <w:szCs w:val="26"/>
          <w:lang w:val="en-GB"/>
        </w:rPr>
        <w:t xml:space="preserve">Additional funding cannot exceed 100 pct. of the original (base) appropriation and cannot exceed DKK 300 million independent of the type of appropriation. </w:t>
      </w:r>
    </w:p>
    <w:p w14:paraId="5ADB5F0B" w14:textId="77777777" w:rsidR="00A62171" w:rsidRPr="00A62171" w:rsidRDefault="00A62171" w:rsidP="00A62171">
      <w:pPr>
        <w:pStyle w:val="Listeafsnit"/>
        <w:numPr>
          <w:ilvl w:val="0"/>
          <w:numId w:val="4"/>
        </w:numPr>
        <w:jc w:val="both"/>
        <w:rPr>
          <w:rFonts w:ascii="Garamond" w:hAnsi="Garamond"/>
          <w:sz w:val="26"/>
          <w:szCs w:val="26"/>
          <w:lang w:val="en-GB"/>
        </w:rPr>
      </w:pPr>
      <w:r w:rsidRPr="00A62171">
        <w:rPr>
          <w:rFonts w:ascii="Garamond" w:hAnsi="Garamond"/>
          <w:sz w:val="26"/>
          <w:szCs w:val="26"/>
          <w:lang w:val="en-GB"/>
        </w:rPr>
        <w:t>A top up can only be considered with the same partner that has signed the agreement with Denmark for the original appropriation.</w:t>
      </w:r>
    </w:p>
    <w:p w14:paraId="2CDA0CF4" w14:textId="77777777" w:rsidR="00A62171" w:rsidRPr="00A62171" w:rsidRDefault="00A62171" w:rsidP="00A62171">
      <w:pPr>
        <w:pStyle w:val="Listeafsnit"/>
        <w:numPr>
          <w:ilvl w:val="0"/>
          <w:numId w:val="4"/>
        </w:numPr>
        <w:jc w:val="both"/>
        <w:rPr>
          <w:rFonts w:ascii="Garamond" w:hAnsi="Garamond"/>
          <w:sz w:val="26"/>
          <w:szCs w:val="26"/>
          <w:lang w:val="en-GB"/>
        </w:rPr>
      </w:pPr>
      <w:r w:rsidRPr="00A62171">
        <w:rPr>
          <w:rFonts w:ascii="Garamond" w:hAnsi="Garamond"/>
          <w:sz w:val="26"/>
          <w:szCs w:val="26"/>
          <w:lang w:val="en-GB"/>
        </w:rPr>
        <w:t xml:space="preserve">A top up shall be in pursuit of the same objective and outcomes as defined in the original appropriation documents to fund additional activities to achieve additional or new outputs </w:t>
      </w:r>
      <w:r w:rsidRPr="00A62171">
        <w:rPr>
          <w:rFonts w:ascii="Garamond" w:hAnsi="Garamond"/>
          <w:sz w:val="26"/>
          <w:szCs w:val="26"/>
          <w:lang w:val="en-GB"/>
        </w:rPr>
        <w:lastRenderedPageBreak/>
        <w:t>and results. A top up cannot be used to cover for increases in costs for achieving the same outputs and results as defined in the original support documentation.</w:t>
      </w:r>
    </w:p>
    <w:p w14:paraId="442FABF5" w14:textId="77777777" w:rsidR="00A62171" w:rsidRPr="00A62171" w:rsidRDefault="00A62171" w:rsidP="00A62171">
      <w:pPr>
        <w:pStyle w:val="Listeafsnit"/>
        <w:numPr>
          <w:ilvl w:val="0"/>
          <w:numId w:val="4"/>
        </w:numPr>
        <w:jc w:val="both"/>
        <w:rPr>
          <w:rFonts w:ascii="Garamond" w:hAnsi="Garamond"/>
          <w:sz w:val="26"/>
          <w:szCs w:val="26"/>
          <w:lang w:val="en-GB"/>
        </w:rPr>
      </w:pPr>
      <w:r w:rsidRPr="00A62171">
        <w:rPr>
          <w:rFonts w:ascii="Garamond" w:hAnsi="Garamond"/>
          <w:sz w:val="26"/>
          <w:szCs w:val="26"/>
          <w:lang w:val="en-GB"/>
        </w:rPr>
        <w:t xml:space="preserve">Top ups across modalities require consistent demonstration of implementation capability by the partner. Top ups should not be given to bilateral engagements that have seen significant reductions in planned disbursements from the Unit or where more than 20 percent of the latest disbursement remain unspent. </w:t>
      </w:r>
    </w:p>
    <w:p w14:paraId="73E49C22" w14:textId="77777777" w:rsidR="00A62171" w:rsidRPr="00A62171" w:rsidRDefault="00A62171" w:rsidP="00A62171">
      <w:pPr>
        <w:pStyle w:val="Listeafsnit"/>
        <w:numPr>
          <w:ilvl w:val="0"/>
          <w:numId w:val="4"/>
        </w:numPr>
        <w:jc w:val="both"/>
        <w:rPr>
          <w:rFonts w:ascii="Garamond" w:hAnsi="Garamond"/>
          <w:sz w:val="26"/>
          <w:szCs w:val="26"/>
          <w:lang w:val="en-GB"/>
        </w:rPr>
      </w:pPr>
      <w:r w:rsidRPr="00A62171">
        <w:rPr>
          <w:rFonts w:ascii="Garamond" w:hAnsi="Garamond"/>
          <w:sz w:val="26"/>
          <w:szCs w:val="26"/>
          <w:lang w:val="en-GB"/>
        </w:rPr>
        <w:t xml:space="preserve">The partner must have a solid track record of proven results within the area of support and compliance documented in appraisals, reviews, evaluations, monitoring reports, incl. financial reports and audits, MOPAN assessments or as a minimum in (an) annual stock taking report(s) and the document referred to should not be older than two years.  </w:t>
      </w:r>
    </w:p>
    <w:p w14:paraId="2446C528" w14:textId="77777777" w:rsidR="00A62171" w:rsidRPr="00A62171" w:rsidRDefault="00A62171" w:rsidP="00A62171">
      <w:pPr>
        <w:pStyle w:val="Listeafsnit"/>
        <w:numPr>
          <w:ilvl w:val="0"/>
          <w:numId w:val="4"/>
        </w:numPr>
        <w:jc w:val="both"/>
        <w:rPr>
          <w:rFonts w:ascii="Garamond" w:hAnsi="Garamond"/>
          <w:sz w:val="26"/>
          <w:szCs w:val="26"/>
          <w:lang w:val="en-GB"/>
        </w:rPr>
      </w:pPr>
      <w:r w:rsidRPr="00A62171">
        <w:rPr>
          <w:rFonts w:ascii="Garamond" w:hAnsi="Garamond"/>
          <w:sz w:val="26"/>
          <w:szCs w:val="26"/>
          <w:lang w:val="en-GB"/>
        </w:rPr>
        <w:t xml:space="preserve">Top ups cannot be granted if reservations or concerns regarding the support have been expressed in the overall conclusion of the Council for Development Policy, appraisals, reviews or other similar assessments, such as MFA financial monitoring reports.  </w:t>
      </w:r>
    </w:p>
    <w:p w14:paraId="4A064C4C" w14:textId="77777777" w:rsidR="00A62171" w:rsidRPr="00A62171" w:rsidRDefault="00A62171" w:rsidP="00A62171">
      <w:pPr>
        <w:pStyle w:val="Listeafsnit"/>
        <w:numPr>
          <w:ilvl w:val="0"/>
          <w:numId w:val="4"/>
        </w:numPr>
        <w:jc w:val="both"/>
        <w:rPr>
          <w:rFonts w:ascii="Garamond" w:hAnsi="Garamond"/>
          <w:sz w:val="26"/>
          <w:szCs w:val="26"/>
          <w:lang w:val="en-GB"/>
        </w:rPr>
      </w:pPr>
      <w:r w:rsidRPr="00A62171">
        <w:rPr>
          <w:rFonts w:ascii="Garamond" w:hAnsi="Garamond"/>
          <w:sz w:val="26"/>
          <w:szCs w:val="26"/>
          <w:lang w:val="en-GB"/>
        </w:rPr>
        <w:t xml:space="preserve">The partner’s handling of recent (within the last three years) active C-cases related to the original support is satisfactory and a clear path for closure of the c-case(s) has been established.  </w:t>
      </w:r>
    </w:p>
    <w:p w14:paraId="06D0EDE4" w14:textId="5CE84195" w:rsidR="00A62171" w:rsidRPr="00A62171" w:rsidRDefault="00A62171" w:rsidP="00A62171">
      <w:pPr>
        <w:pStyle w:val="Listeafsnit"/>
        <w:numPr>
          <w:ilvl w:val="0"/>
          <w:numId w:val="4"/>
        </w:numPr>
        <w:jc w:val="both"/>
        <w:rPr>
          <w:rFonts w:ascii="Garamond" w:hAnsi="Garamond"/>
          <w:sz w:val="26"/>
          <w:szCs w:val="26"/>
          <w:lang w:val="en-GB"/>
        </w:rPr>
      </w:pPr>
      <w:r w:rsidRPr="00A62171">
        <w:rPr>
          <w:rFonts w:ascii="Garamond" w:hAnsi="Garamond"/>
          <w:sz w:val="26"/>
          <w:szCs w:val="26"/>
          <w:lang w:val="en-GB"/>
        </w:rPr>
        <w:t xml:space="preserve">A top up cannot be granted during the first year of implementation. Exceptions can be made in for instance situations where Danish support has been granted together with other international development partners and a temporary gap is occurring in situations where for instance pledges or commitments from other partners are not coming through and it is therefore considered that the planned objective and outcomes cannot be realised without additional funding. Top ups should not be granted where Denmark will be left as the sole contributing partner or when only minor additional contributions are granted by other partners. </w:t>
      </w:r>
    </w:p>
    <w:p w14:paraId="1842F3DC" w14:textId="77777777" w:rsidR="00A62171" w:rsidRPr="00A62171" w:rsidRDefault="00A62171" w:rsidP="00A62171">
      <w:pPr>
        <w:jc w:val="both"/>
        <w:rPr>
          <w:rFonts w:ascii="Garamond" w:hAnsi="Garamond"/>
          <w:sz w:val="26"/>
          <w:szCs w:val="26"/>
          <w:u w:val="single"/>
          <w:lang w:val="en-GB"/>
        </w:rPr>
      </w:pPr>
      <w:r w:rsidRPr="00A62171">
        <w:rPr>
          <w:rFonts w:ascii="Garamond" w:hAnsi="Garamond"/>
          <w:sz w:val="26"/>
          <w:szCs w:val="26"/>
          <w:u w:val="single"/>
          <w:lang w:val="en-GB"/>
        </w:rPr>
        <w:t xml:space="preserve">Required documentation for approval of top-ups;  </w:t>
      </w:r>
    </w:p>
    <w:p w14:paraId="5B9202F5" w14:textId="77777777" w:rsidR="00A62171" w:rsidRPr="00A62171" w:rsidRDefault="00A62171" w:rsidP="00A62171">
      <w:pPr>
        <w:pStyle w:val="Listeafsnit"/>
        <w:numPr>
          <w:ilvl w:val="0"/>
          <w:numId w:val="5"/>
        </w:numPr>
        <w:jc w:val="both"/>
        <w:rPr>
          <w:rFonts w:ascii="Garamond" w:hAnsi="Garamond"/>
          <w:sz w:val="26"/>
          <w:szCs w:val="26"/>
          <w:lang w:val="en-GB"/>
        </w:rPr>
      </w:pPr>
      <w:r w:rsidRPr="00A62171">
        <w:rPr>
          <w:rFonts w:ascii="Garamond" w:hAnsi="Garamond"/>
          <w:sz w:val="26"/>
          <w:szCs w:val="26"/>
          <w:lang w:val="en-GB"/>
        </w:rPr>
        <w:t>A short appropriation note of 1-2 pages containing the rationale for the top up including:</w:t>
      </w:r>
    </w:p>
    <w:p w14:paraId="0B884826" w14:textId="77777777" w:rsidR="00A62171" w:rsidRPr="00A62171" w:rsidRDefault="00A62171" w:rsidP="00A62171">
      <w:pPr>
        <w:pStyle w:val="Listeafsnit"/>
        <w:numPr>
          <w:ilvl w:val="1"/>
          <w:numId w:val="5"/>
        </w:numPr>
        <w:jc w:val="both"/>
        <w:rPr>
          <w:rFonts w:ascii="Garamond" w:hAnsi="Garamond"/>
          <w:sz w:val="26"/>
          <w:szCs w:val="26"/>
          <w:lang w:val="en-GB"/>
        </w:rPr>
      </w:pPr>
      <w:r w:rsidRPr="00A62171">
        <w:rPr>
          <w:rFonts w:ascii="Garamond" w:hAnsi="Garamond"/>
          <w:sz w:val="26"/>
          <w:szCs w:val="26"/>
          <w:lang w:val="en-GB"/>
        </w:rPr>
        <w:t>Justification and rationale for the top up with reference to the request for additional funding from the partner;</w:t>
      </w:r>
    </w:p>
    <w:p w14:paraId="064496CD" w14:textId="77777777" w:rsidR="00A62171" w:rsidRPr="00A62171" w:rsidRDefault="00A62171" w:rsidP="00A62171">
      <w:pPr>
        <w:pStyle w:val="Listeafsnit"/>
        <w:numPr>
          <w:ilvl w:val="1"/>
          <w:numId w:val="5"/>
        </w:numPr>
        <w:jc w:val="both"/>
        <w:rPr>
          <w:rFonts w:ascii="Garamond" w:hAnsi="Garamond"/>
          <w:sz w:val="26"/>
          <w:szCs w:val="26"/>
          <w:lang w:val="en-GB"/>
        </w:rPr>
      </w:pPr>
      <w:r w:rsidRPr="00A62171">
        <w:rPr>
          <w:rFonts w:ascii="Garamond" w:hAnsi="Garamond"/>
          <w:sz w:val="26"/>
          <w:szCs w:val="26"/>
          <w:lang w:val="en-GB"/>
        </w:rPr>
        <w:t xml:space="preserve">A brief presentation of the status of the implementation of the support including achieved results, lessons learned, financial transfers, expenditure level and conclusions of latest annual financial reporting; </w:t>
      </w:r>
    </w:p>
    <w:p w14:paraId="1059E468" w14:textId="77777777" w:rsidR="00A62171" w:rsidRPr="00A62171" w:rsidRDefault="00A62171" w:rsidP="00A62171">
      <w:pPr>
        <w:pStyle w:val="Listeafsnit"/>
        <w:numPr>
          <w:ilvl w:val="0"/>
          <w:numId w:val="5"/>
        </w:numPr>
        <w:jc w:val="both"/>
        <w:rPr>
          <w:rFonts w:ascii="Garamond" w:hAnsi="Garamond"/>
          <w:sz w:val="26"/>
          <w:szCs w:val="26"/>
          <w:lang w:val="en-GB"/>
        </w:rPr>
      </w:pPr>
      <w:r w:rsidRPr="00A62171">
        <w:rPr>
          <w:rFonts w:ascii="Garamond" w:hAnsi="Garamond"/>
          <w:sz w:val="26"/>
          <w:szCs w:val="26"/>
          <w:lang w:val="en-GB"/>
        </w:rPr>
        <w:t>The following 3 standard annexes should be revised and attached (these should also be annexed to the amendment/addendum when signed with the partner);</w:t>
      </w:r>
    </w:p>
    <w:p w14:paraId="639C2A84" w14:textId="77777777" w:rsidR="00A62171" w:rsidRPr="00A62171" w:rsidRDefault="00A62171" w:rsidP="00A62171">
      <w:pPr>
        <w:pStyle w:val="Listeafsnit"/>
        <w:numPr>
          <w:ilvl w:val="1"/>
          <w:numId w:val="5"/>
        </w:numPr>
        <w:jc w:val="both"/>
        <w:rPr>
          <w:rFonts w:ascii="Garamond" w:hAnsi="Garamond"/>
          <w:sz w:val="26"/>
          <w:szCs w:val="26"/>
          <w:lang w:val="en-GB"/>
        </w:rPr>
      </w:pPr>
      <w:r w:rsidRPr="00A62171">
        <w:rPr>
          <w:rFonts w:ascii="Garamond" w:hAnsi="Garamond"/>
          <w:sz w:val="26"/>
          <w:szCs w:val="26"/>
          <w:lang w:val="en-GB"/>
        </w:rPr>
        <w:t xml:space="preserve">Results framework including new activities and outputs; </w:t>
      </w:r>
    </w:p>
    <w:p w14:paraId="791807C1" w14:textId="77777777" w:rsidR="00A62171" w:rsidRPr="00A62171" w:rsidRDefault="00A62171" w:rsidP="00A62171">
      <w:pPr>
        <w:pStyle w:val="Listeafsnit"/>
        <w:numPr>
          <w:ilvl w:val="1"/>
          <w:numId w:val="5"/>
        </w:numPr>
        <w:jc w:val="both"/>
        <w:rPr>
          <w:rFonts w:ascii="Garamond" w:hAnsi="Garamond"/>
          <w:sz w:val="26"/>
          <w:szCs w:val="26"/>
          <w:lang w:val="en-GB"/>
        </w:rPr>
      </w:pPr>
      <w:r w:rsidRPr="00A62171">
        <w:rPr>
          <w:rFonts w:ascii="Garamond" w:hAnsi="Garamond"/>
          <w:sz w:val="26"/>
          <w:szCs w:val="26"/>
          <w:lang w:val="en-GB"/>
        </w:rPr>
        <w:t xml:space="preserve">Budget based on the Financial Management Guidelines; </w:t>
      </w:r>
    </w:p>
    <w:p w14:paraId="29EE7658" w14:textId="77777777" w:rsidR="00A62171" w:rsidRPr="00A62171" w:rsidRDefault="00A62171" w:rsidP="00A62171">
      <w:pPr>
        <w:pStyle w:val="Listeafsnit"/>
        <w:numPr>
          <w:ilvl w:val="1"/>
          <w:numId w:val="5"/>
        </w:numPr>
        <w:jc w:val="both"/>
        <w:rPr>
          <w:rFonts w:ascii="Garamond" w:hAnsi="Garamond"/>
          <w:sz w:val="26"/>
          <w:szCs w:val="26"/>
          <w:lang w:val="en-GB"/>
        </w:rPr>
      </w:pPr>
      <w:r w:rsidRPr="00A62171">
        <w:rPr>
          <w:rFonts w:ascii="Garamond" w:hAnsi="Garamond"/>
          <w:sz w:val="26"/>
          <w:szCs w:val="26"/>
          <w:lang w:val="en-GB"/>
        </w:rPr>
        <w:t>Risk matrix and risk management section;</w:t>
      </w:r>
    </w:p>
    <w:p w14:paraId="3C3ED1EE" w14:textId="77777777" w:rsidR="00A62171" w:rsidRPr="00A62171" w:rsidRDefault="00A62171" w:rsidP="00A62171">
      <w:pPr>
        <w:pStyle w:val="Listeafsnit"/>
        <w:numPr>
          <w:ilvl w:val="0"/>
          <w:numId w:val="5"/>
        </w:numPr>
        <w:jc w:val="both"/>
        <w:rPr>
          <w:rFonts w:ascii="Garamond" w:hAnsi="Garamond"/>
          <w:sz w:val="26"/>
          <w:szCs w:val="26"/>
          <w:lang w:val="en-GB"/>
        </w:rPr>
      </w:pPr>
      <w:r w:rsidRPr="00A62171">
        <w:rPr>
          <w:rFonts w:ascii="Garamond" w:hAnsi="Garamond"/>
          <w:sz w:val="26"/>
          <w:szCs w:val="26"/>
          <w:lang w:val="en-GB"/>
        </w:rPr>
        <w:t xml:space="preserve">Additional documents to be attached: </w:t>
      </w:r>
    </w:p>
    <w:p w14:paraId="510867A2" w14:textId="77777777" w:rsidR="00A62171" w:rsidRPr="00A62171" w:rsidRDefault="00A62171" w:rsidP="00A62171">
      <w:pPr>
        <w:pStyle w:val="Listeafsnit"/>
        <w:numPr>
          <w:ilvl w:val="1"/>
          <w:numId w:val="5"/>
        </w:numPr>
        <w:jc w:val="both"/>
        <w:rPr>
          <w:rFonts w:ascii="Garamond" w:hAnsi="Garamond"/>
          <w:sz w:val="26"/>
          <w:szCs w:val="26"/>
          <w:lang w:val="en-GB"/>
        </w:rPr>
      </w:pPr>
      <w:r w:rsidRPr="00A62171">
        <w:rPr>
          <w:rFonts w:ascii="Garamond" w:hAnsi="Garamond"/>
          <w:sz w:val="26"/>
          <w:szCs w:val="26"/>
          <w:lang w:val="en-GB"/>
        </w:rPr>
        <w:t>Checklist demonstrating fulfilment of the 8 criteria (Use template;</w:t>
      </w:r>
    </w:p>
    <w:p w14:paraId="4A7C9954" w14:textId="77777777" w:rsidR="00A62171" w:rsidRPr="00A62171" w:rsidRDefault="00A62171" w:rsidP="00A62171">
      <w:pPr>
        <w:pStyle w:val="Listeafsnit"/>
        <w:numPr>
          <w:ilvl w:val="1"/>
          <w:numId w:val="5"/>
        </w:numPr>
        <w:jc w:val="both"/>
        <w:rPr>
          <w:rFonts w:ascii="Garamond" w:hAnsi="Garamond"/>
          <w:sz w:val="26"/>
          <w:szCs w:val="26"/>
          <w:lang w:val="en-GB"/>
        </w:rPr>
      </w:pPr>
      <w:r w:rsidRPr="00A62171">
        <w:rPr>
          <w:rFonts w:ascii="Garamond" w:hAnsi="Garamond"/>
          <w:sz w:val="26"/>
          <w:szCs w:val="26"/>
          <w:lang w:val="en-GB"/>
        </w:rPr>
        <w:lastRenderedPageBreak/>
        <w:t>Standard appropriation cover note;</w:t>
      </w:r>
    </w:p>
    <w:p w14:paraId="2912FF70" w14:textId="77777777" w:rsidR="00A62171" w:rsidRPr="00A62171" w:rsidRDefault="00A62171" w:rsidP="00A62171">
      <w:pPr>
        <w:pStyle w:val="Listeafsnit"/>
        <w:numPr>
          <w:ilvl w:val="1"/>
          <w:numId w:val="5"/>
        </w:numPr>
        <w:jc w:val="both"/>
        <w:rPr>
          <w:rFonts w:ascii="Garamond" w:hAnsi="Garamond"/>
          <w:sz w:val="26"/>
          <w:szCs w:val="26"/>
          <w:lang w:val="en-GB"/>
        </w:rPr>
      </w:pPr>
      <w:r w:rsidRPr="00A62171">
        <w:rPr>
          <w:rFonts w:ascii="Garamond" w:hAnsi="Garamond"/>
          <w:sz w:val="26"/>
          <w:szCs w:val="26"/>
          <w:lang w:val="en-GB"/>
        </w:rPr>
        <w:t>The request from the partner for additional funding;</w:t>
      </w:r>
    </w:p>
    <w:p w14:paraId="58DE2FF2" w14:textId="77777777" w:rsidR="00A62171" w:rsidRPr="00A62171" w:rsidRDefault="00A62171" w:rsidP="00A62171">
      <w:pPr>
        <w:pStyle w:val="Listeafsnit"/>
        <w:numPr>
          <w:ilvl w:val="1"/>
          <w:numId w:val="5"/>
        </w:numPr>
        <w:jc w:val="both"/>
        <w:rPr>
          <w:rFonts w:ascii="Garamond" w:hAnsi="Garamond"/>
          <w:sz w:val="26"/>
          <w:szCs w:val="26"/>
          <w:lang w:val="en-GB"/>
        </w:rPr>
      </w:pPr>
      <w:r w:rsidRPr="00A62171">
        <w:rPr>
          <w:rFonts w:ascii="Garamond" w:hAnsi="Garamond"/>
          <w:sz w:val="26"/>
          <w:szCs w:val="26"/>
          <w:lang w:val="en-GB"/>
        </w:rPr>
        <w:t xml:space="preserve">The amendment/addendum to the original partner agreement;  </w:t>
      </w:r>
    </w:p>
    <w:p w14:paraId="5EE242F6" w14:textId="77777777" w:rsidR="00A62171" w:rsidRPr="00A62171" w:rsidRDefault="00A62171" w:rsidP="00A62171">
      <w:pPr>
        <w:pStyle w:val="Listeafsnit"/>
        <w:numPr>
          <w:ilvl w:val="1"/>
          <w:numId w:val="5"/>
        </w:numPr>
        <w:jc w:val="both"/>
        <w:rPr>
          <w:rFonts w:ascii="Garamond" w:hAnsi="Garamond"/>
          <w:sz w:val="26"/>
          <w:szCs w:val="26"/>
          <w:lang w:val="en-GB"/>
        </w:rPr>
      </w:pPr>
      <w:r w:rsidRPr="00A62171">
        <w:rPr>
          <w:rFonts w:ascii="Garamond" w:hAnsi="Garamond"/>
          <w:sz w:val="26"/>
          <w:szCs w:val="26"/>
          <w:lang w:val="en-GB"/>
        </w:rPr>
        <w:t>If required the most recent annual stock taking report including the annual financial expenditure report;</w:t>
      </w:r>
    </w:p>
    <w:p w14:paraId="292FAE5C" w14:textId="77777777" w:rsidR="00A62171" w:rsidRPr="00A62171" w:rsidRDefault="00A62171" w:rsidP="00A62171">
      <w:pPr>
        <w:pStyle w:val="Listeafsnit"/>
        <w:numPr>
          <w:ilvl w:val="1"/>
          <w:numId w:val="5"/>
        </w:numPr>
        <w:jc w:val="both"/>
        <w:rPr>
          <w:rFonts w:ascii="Garamond" w:hAnsi="Garamond"/>
          <w:sz w:val="26"/>
          <w:szCs w:val="26"/>
          <w:lang w:val="en-GB"/>
        </w:rPr>
      </w:pPr>
      <w:r w:rsidRPr="00A62171">
        <w:rPr>
          <w:rFonts w:ascii="Garamond" w:hAnsi="Garamond"/>
          <w:sz w:val="26"/>
          <w:szCs w:val="26"/>
          <w:lang w:val="en-GB"/>
        </w:rPr>
        <w:t>If conducted, the most recent summary of recommendations from an appraisal or review not older than two years and for multilateral core funding brief (max 1 page) summary findings from the most recent MOPAN report.</w:t>
      </w:r>
    </w:p>
    <w:p w14:paraId="2540D4D8" w14:textId="77777777" w:rsidR="00A62171" w:rsidRPr="00A62171" w:rsidRDefault="00A62171" w:rsidP="00A62171">
      <w:pPr>
        <w:pStyle w:val="Listeafsnit"/>
        <w:ind w:left="0"/>
        <w:jc w:val="both"/>
        <w:rPr>
          <w:rFonts w:ascii="Garamond" w:hAnsi="Garamond"/>
          <w:sz w:val="26"/>
          <w:szCs w:val="26"/>
          <w:lang w:val="en-GB"/>
        </w:rPr>
      </w:pPr>
    </w:p>
    <w:p w14:paraId="12D65971" w14:textId="0797586B" w:rsidR="007D2987" w:rsidRPr="00A62171" w:rsidRDefault="00A62171" w:rsidP="00A62171">
      <w:pPr>
        <w:pStyle w:val="Listeafsnit"/>
        <w:ind w:left="0"/>
        <w:jc w:val="both"/>
        <w:rPr>
          <w:rFonts w:ascii="Garamond" w:hAnsi="Garamond"/>
          <w:sz w:val="26"/>
          <w:szCs w:val="26"/>
          <w:lang w:val="en-GB"/>
        </w:rPr>
      </w:pPr>
      <w:r w:rsidRPr="00A62171">
        <w:rPr>
          <w:rFonts w:ascii="Garamond" w:hAnsi="Garamond"/>
          <w:sz w:val="26"/>
          <w:szCs w:val="26"/>
          <w:lang w:val="en-GB"/>
        </w:rPr>
        <w:t>The Unit should involve their CFO in the preparation of top ups and may on a case-by-case basis chose to seek guidance from LEARNING and/or TILSKUD or other relevant entity, but this is not mandatory. If the Unit intends to seek guidance from LEARNING and/or TILSKUD this should be done early in the process.</w:t>
      </w:r>
    </w:p>
    <w:p w14:paraId="4E7E63E9" w14:textId="25076F6B" w:rsidR="00FF3462" w:rsidRPr="00A62171" w:rsidRDefault="00FF3462" w:rsidP="00A62171">
      <w:pPr>
        <w:rPr>
          <w:rFonts w:ascii="Garamond" w:hAnsi="Garamond"/>
          <w:b/>
          <w:bCs/>
          <w:sz w:val="26"/>
          <w:szCs w:val="26"/>
          <w:lang w:val="en-GB"/>
        </w:rPr>
      </w:pPr>
      <w:r w:rsidRPr="00A62171">
        <w:rPr>
          <w:rFonts w:ascii="Garamond" w:hAnsi="Garamond"/>
          <w:b/>
          <w:bCs/>
          <w:sz w:val="26"/>
          <w:szCs w:val="26"/>
          <w:lang w:val="en-GB"/>
        </w:rPr>
        <w:t>Approval process</w:t>
      </w:r>
      <w:r w:rsidR="00802C80" w:rsidRPr="00A62171">
        <w:rPr>
          <w:rFonts w:ascii="Garamond" w:hAnsi="Garamond"/>
          <w:b/>
          <w:bCs/>
          <w:sz w:val="26"/>
          <w:szCs w:val="26"/>
          <w:lang w:val="en-GB"/>
        </w:rPr>
        <w:t xml:space="preserve"> for top</w:t>
      </w:r>
      <w:r w:rsidR="00255AF1">
        <w:rPr>
          <w:rFonts w:ascii="Garamond" w:hAnsi="Garamond"/>
          <w:b/>
          <w:bCs/>
          <w:sz w:val="26"/>
          <w:szCs w:val="26"/>
          <w:lang w:val="en-GB"/>
        </w:rPr>
        <w:t xml:space="preserve"> </w:t>
      </w:r>
      <w:r w:rsidR="00802C80" w:rsidRPr="00A62171">
        <w:rPr>
          <w:rFonts w:ascii="Garamond" w:hAnsi="Garamond"/>
          <w:b/>
          <w:bCs/>
          <w:sz w:val="26"/>
          <w:szCs w:val="26"/>
          <w:lang w:val="en-GB"/>
        </w:rPr>
        <w:t xml:space="preserve">ups </w:t>
      </w:r>
      <w:r w:rsidR="00802C80" w:rsidRPr="00A62171">
        <w:rPr>
          <w:rFonts w:ascii="Garamond" w:hAnsi="Garamond"/>
          <w:b/>
          <w:bCs/>
          <w:sz w:val="26"/>
          <w:szCs w:val="26"/>
          <w:u w:val="single"/>
          <w:lang w:val="en-GB"/>
        </w:rPr>
        <w:t>above DKK 10 million</w:t>
      </w:r>
      <w:r w:rsidR="00802C80" w:rsidRPr="00A62171">
        <w:rPr>
          <w:rFonts w:ascii="Garamond" w:hAnsi="Garamond"/>
          <w:b/>
          <w:bCs/>
          <w:sz w:val="26"/>
          <w:szCs w:val="26"/>
          <w:lang w:val="en-GB"/>
        </w:rPr>
        <w:t xml:space="preserve"> (“</w:t>
      </w:r>
      <w:proofErr w:type="spellStart"/>
      <w:r w:rsidR="00802C80" w:rsidRPr="00A62171">
        <w:rPr>
          <w:rFonts w:ascii="Garamond" w:hAnsi="Garamond"/>
          <w:b/>
          <w:bCs/>
          <w:sz w:val="26"/>
          <w:szCs w:val="26"/>
          <w:lang w:val="en-GB"/>
        </w:rPr>
        <w:t>Bevillingssekretariatet</w:t>
      </w:r>
      <w:proofErr w:type="spellEnd"/>
      <w:r w:rsidR="00802C80" w:rsidRPr="00A62171">
        <w:rPr>
          <w:rFonts w:ascii="Garamond" w:hAnsi="Garamond"/>
          <w:b/>
          <w:bCs/>
          <w:sz w:val="26"/>
          <w:szCs w:val="26"/>
          <w:lang w:val="en-GB"/>
        </w:rPr>
        <w:t>”)</w:t>
      </w:r>
      <w:r w:rsidRPr="00A62171">
        <w:rPr>
          <w:rFonts w:ascii="Garamond" w:hAnsi="Garamond"/>
          <w:b/>
          <w:bCs/>
          <w:sz w:val="26"/>
          <w:szCs w:val="26"/>
          <w:lang w:val="en-GB"/>
        </w:rPr>
        <w:t>:</w:t>
      </w:r>
    </w:p>
    <w:p w14:paraId="3FA9EE42" w14:textId="3EB3D4EB" w:rsidR="00FF3462" w:rsidRPr="00A62171" w:rsidRDefault="00FF3462" w:rsidP="00A62171">
      <w:pPr>
        <w:rPr>
          <w:rFonts w:ascii="Garamond" w:hAnsi="Garamond"/>
          <w:sz w:val="26"/>
          <w:szCs w:val="26"/>
          <w:lang w:val="en-GB"/>
        </w:rPr>
      </w:pPr>
      <w:r w:rsidRPr="00A62171">
        <w:rPr>
          <w:rFonts w:ascii="Garamond" w:hAnsi="Garamond"/>
          <w:sz w:val="26"/>
          <w:szCs w:val="26"/>
          <w:lang w:val="en-GB"/>
        </w:rPr>
        <w:t xml:space="preserve">The Unit submits the final proposed appropriation documents (the short appropriation note and the required documents – see </w:t>
      </w:r>
      <w:r w:rsidR="00727342">
        <w:rPr>
          <w:rFonts w:ascii="Garamond" w:hAnsi="Garamond"/>
          <w:sz w:val="26"/>
          <w:szCs w:val="26"/>
          <w:lang w:val="en-GB"/>
        </w:rPr>
        <w:t xml:space="preserve">list </w:t>
      </w:r>
      <w:r w:rsidRPr="00A62171">
        <w:rPr>
          <w:rFonts w:ascii="Garamond" w:hAnsi="Garamond"/>
          <w:sz w:val="26"/>
          <w:szCs w:val="26"/>
          <w:lang w:val="en-GB"/>
        </w:rPr>
        <w:t>above) to the Appropriation Secretariat</w:t>
      </w:r>
      <w:r w:rsidR="00802C80" w:rsidRPr="00A62171">
        <w:rPr>
          <w:rFonts w:ascii="Garamond" w:hAnsi="Garamond"/>
          <w:sz w:val="26"/>
          <w:szCs w:val="26"/>
          <w:lang w:val="en-GB"/>
        </w:rPr>
        <w:t xml:space="preserve"> (“</w:t>
      </w:r>
      <w:proofErr w:type="spellStart"/>
      <w:r w:rsidR="00802C80" w:rsidRPr="00A62171">
        <w:rPr>
          <w:rFonts w:ascii="Garamond" w:hAnsi="Garamond"/>
          <w:sz w:val="26"/>
          <w:szCs w:val="26"/>
          <w:lang w:val="en-GB"/>
        </w:rPr>
        <w:t>Bevillingssekretariatet</w:t>
      </w:r>
      <w:proofErr w:type="spellEnd"/>
      <w:r w:rsidR="00802C80" w:rsidRPr="00A62171">
        <w:rPr>
          <w:rFonts w:ascii="Garamond" w:hAnsi="Garamond"/>
          <w:sz w:val="26"/>
          <w:szCs w:val="26"/>
          <w:lang w:val="en-GB"/>
        </w:rPr>
        <w:t>”)</w:t>
      </w:r>
      <w:r w:rsidRPr="00A62171">
        <w:rPr>
          <w:rFonts w:ascii="Garamond" w:hAnsi="Garamond"/>
          <w:sz w:val="26"/>
          <w:szCs w:val="26"/>
          <w:lang w:val="en-GB"/>
        </w:rPr>
        <w:t xml:space="preserve"> in LEARNING. </w:t>
      </w:r>
      <w:r w:rsidR="004835B9" w:rsidRPr="00A62171">
        <w:rPr>
          <w:rFonts w:ascii="Garamond" w:hAnsi="Garamond"/>
          <w:sz w:val="26"/>
          <w:szCs w:val="26"/>
          <w:lang w:val="en-GB"/>
        </w:rPr>
        <w:t xml:space="preserve">LEARNING will </w:t>
      </w:r>
      <w:r w:rsidR="00802C80" w:rsidRPr="00A62171">
        <w:rPr>
          <w:rFonts w:ascii="Garamond" w:hAnsi="Garamond"/>
          <w:sz w:val="26"/>
          <w:szCs w:val="26"/>
          <w:lang w:val="en-GB"/>
        </w:rPr>
        <w:t>check that all mandatory documentation has been included</w:t>
      </w:r>
      <w:r w:rsidR="004835B9" w:rsidRPr="00A62171">
        <w:rPr>
          <w:rFonts w:ascii="Garamond" w:hAnsi="Garamond"/>
          <w:sz w:val="26"/>
          <w:szCs w:val="26"/>
          <w:lang w:val="en-GB"/>
        </w:rPr>
        <w:t xml:space="preserve"> within five working days after receiving the proposal.</w:t>
      </w:r>
    </w:p>
    <w:p w14:paraId="4EDFCD7F" w14:textId="0835A6DE" w:rsidR="00FF3462" w:rsidRPr="00A62171" w:rsidRDefault="00FF3462" w:rsidP="00A62171">
      <w:pPr>
        <w:rPr>
          <w:rFonts w:ascii="Garamond" w:hAnsi="Garamond"/>
          <w:sz w:val="26"/>
          <w:szCs w:val="26"/>
          <w:lang w:val="en-GB"/>
        </w:rPr>
      </w:pPr>
      <w:r w:rsidRPr="00A62171">
        <w:rPr>
          <w:rFonts w:ascii="Garamond" w:hAnsi="Garamond"/>
          <w:sz w:val="26"/>
          <w:szCs w:val="26"/>
          <w:lang w:val="en-GB"/>
        </w:rPr>
        <w:t>The approval of top</w:t>
      </w:r>
      <w:r w:rsidR="00255AF1">
        <w:rPr>
          <w:rFonts w:ascii="Garamond" w:hAnsi="Garamond"/>
          <w:sz w:val="26"/>
          <w:szCs w:val="26"/>
          <w:lang w:val="en-GB"/>
        </w:rPr>
        <w:t xml:space="preserve"> </w:t>
      </w:r>
      <w:r w:rsidRPr="00A62171">
        <w:rPr>
          <w:rFonts w:ascii="Garamond" w:hAnsi="Garamond"/>
          <w:sz w:val="26"/>
          <w:szCs w:val="26"/>
          <w:lang w:val="en-GB"/>
        </w:rPr>
        <w:t xml:space="preserve">ups </w:t>
      </w:r>
      <w:r w:rsidR="00802C80" w:rsidRPr="00A62171">
        <w:rPr>
          <w:rFonts w:ascii="Garamond" w:hAnsi="Garamond"/>
          <w:sz w:val="26"/>
          <w:szCs w:val="26"/>
          <w:u w:val="single"/>
          <w:lang w:val="en-GB"/>
        </w:rPr>
        <w:t>above 10 million DKK</w:t>
      </w:r>
      <w:r w:rsidR="00802C80" w:rsidRPr="00A62171">
        <w:rPr>
          <w:rFonts w:ascii="Garamond" w:hAnsi="Garamond"/>
          <w:sz w:val="26"/>
          <w:szCs w:val="26"/>
          <w:lang w:val="en-GB"/>
        </w:rPr>
        <w:t xml:space="preserve"> </w:t>
      </w:r>
      <w:r w:rsidRPr="00A62171">
        <w:rPr>
          <w:rFonts w:ascii="Garamond" w:hAnsi="Garamond"/>
          <w:sz w:val="26"/>
          <w:szCs w:val="26"/>
          <w:lang w:val="en-GB"/>
        </w:rPr>
        <w:t xml:space="preserve">is made by the State Secretary for Development </w:t>
      </w:r>
      <w:r w:rsidR="004835B9" w:rsidRPr="00A62171">
        <w:rPr>
          <w:rFonts w:ascii="Garamond" w:hAnsi="Garamond"/>
          <w:sz w:val="26"/>
          <w:szCs w:val="26"/>
          <w:lang w:val="en-GB"/>
        </w:rPr>
        <w:t>Policy</w:t>
      </w:r>
      <w:r w:rsidRPr="00A62171">
        <w:rPr>
          <w:rFonts w:ascii="Garamond" w:hAnsi="Garamond"/>
          <w:sz w:val="26"/>
          <w:szCs w:val="26"/>
          <w:lang w:val="en-GB"/>
        </w:rPr>
        <w:t xml:space="preserve">. The Head of </w:t>
      </w:r>
      <w:r w:rsidR="004835B9" w:rsidRPr="00A62171">
        <w:rPr>
          <w:rFonts w:ascii="Garamond" w:hAnsi="Garamond"/>
          <w:sz w:val="26"/>
          <w:szCs w:val="26"/>
          <w:lang w:val="en-GB"/>
        </w:rPr>
        <w:t>Department</w:t>
      </w:r>
      <w:r w:rsidRPr="00A62171">
        <w:rPr>
          <w:rFonts w:ascii="Garamond" w:hAnsi="Garamond"/>
          <w:sz w:val="26"/>
          <w:szCs w:val="26"/>
          <w:lang w:val="en-GB"/>
        </w:rPr>
        <w:t xml:space="preserve"> is responsible for the content and quality assurance of the top-up documentation. </w:t>
      </w:r>
    </w:p>
    <w:p w14:paraId="4218AD8E" w14:textId="0D4F4142" w:rsidR="004835B9" w:rsidRPr="00A62171" w:rsidRDefault="004835B9" w:rsidP="00A62171">
      <w:pPr>
        <w:rPr>
          <w:rFonts w:ascii="Garamond" w:hAnsi="Garamond"/>
          <w:sz w:val="26"/>
          <w:szCs w:val="26"/>
          <w:lang w:val="en-GB"/>
        </w:rPr>
      </w:pPr>
      <w:r w:rsidRPr="00A62171">
        <w:rPr>
          <w:rFonts w:ascii="Garamond" w:hAnsi="Garamond"/>
          <w:sz w:val="26"/>
          <w:szCs w:val="26"/>
          <w:lang w:val="en-GB"/>
        </w:rPr>
        <w:t xml:space="preserve">The </w:t>
      </w:r>
      <w:r w:rsidR="00727342">
        <w:rPr>
          <w:rFonts w:ascii="Garamond" w:hAnsi="Garamond"/>
          <w:sz w:val="26"/>
          <w:szCs w:val="26"/>
          <w:lang w:val="en-GB"/>
        </w:rPr>
        <w:t xml:space="preserve">required </w:t>
      </w:r>
      <w:r w:rsidRPr="00A62171">
        <w:rPr>
          <w:rFonts w:ascii="Garamond" w:hAnsi="Garamond"/>
          <w:sz w:val="26"/>
          <w:szCs w:val="26"/>
          <w:lang w:val="en-GB"/>
        </w:rPr>
        <w:t>documentation must be submitted to the State Secretary for Development Policy through “</w:t>
      </w:r>
      <w:proofErr w:type="spellStart"/>
      <w:r w:rsidRPr="00A62171">
        <w:rPr>
          <w:rFonts w:ascii="Garamond" w:hAnsi="Garamond"/>
          <w:sz w:val="26"/>
          <w:szCs w:val="26"/>
          <w:lang w:val="en-GB"/>
        </w:rPr>
        <w:t>Bevillingssekretariatet</w:t>
      </w:r>
      <w:proofErr w:type="spellEnd"/>
      <w:r w:rsidRPr="00A62171">
        <w:rPr>
          <w:rFonts w:ascii="Garamond" w:hAnsi="Garamond"/>
          <w:sz w:val="26"/>
          <w:szCs w:val="26"/>
          <w:lang w:val="en-GB"/>
        </w:rPr>
        <w:t xml:space="preserve">”. </w:t>
      </w:r>
    </w:p>
    <w:p w14:paraId="08F3FC95" w14:textId="2CBE10A9" w:rsidR="004835B9" w:rsidRPr="00A62171" w:rsidRDefault="004835B9" w:rsidP="00A62171">
      <w:pPr>
        <w:rPr>
          <w:rFonts w:ascii="Garamond" w:hAnsi="Garamond"/>
          <w:sz w:val="26"/>
          <w:szCs w:val="26"/>
          <w:lang w:val="en-GB"/>
        </w:rPr>
      </w:pPr>
      <w:r w:rsidRPr="00A62171">
        <w:rPr>
          <w:rFonts w:ascii="Garamond" w:hAnsi="Garamond"/>
          <w:sz w:val="26"/>
          <w:szCs w:val="26"/>
          <w:lang w:val="en-GB"/>
        </w:rPr>
        <w:t>Units are requested to submit the documentation through Public 360° and use the following approval flow:</w:t>
      </w:r>
    </w:p>
    <w:p w14:paraId="49BA7F99" w14:textId="6CE8EE97" w:rsidR="004835B9" w:rsidRPr="00A62171" w:rsidRDefault="004835B9" w:rsidP="00A62171">
      <w:pPr>
        <w:pStyle w:val="Listeafsnit"/>
        <w:numPr>
          <w:ilvl w:val="0"/>
          <w:numId w:val="1"/>
        </w:numPr>
        <w:rPr>
          <w:rFonts w:ascii="Garamond" w:hAnsi="Garamond"/>
          <w:sz w:val="26"/>
          <w:szCs w:val="26"/>
          <w:lang w:val="en-GB"/>
        </w:rPr>
      </w:pPr>
      <w:r w:rsidRPr="00A62171">
        <w:rPr>
          <w:rFonts w:ascii="Garamond" w:hAnsi="Garamond"/>
          <w:sz w:val="26"/>
          <w:szCs w:val="26"/>
          <w:lang w:val="en-GB"/>
        </w:rPr>
        <w:t>Approval by the Head of Department</w:t>
      </w:r>
    </w:p>
    <w:p w14:paraId="3F161077" w14:textId="24840EDE" w:rsidR="004835B9" w:rsidRPr="00A62171" w:rsidRDefault="004835B9" w:rsidP="00A62171">
      <w:pPr>
        <w:pStyle w:val="Listeafsnit"/>
        <w:numPr>
          <w:ilvl w:val="0"/>
          <w:numId w:val="1"/>
        </w:numPr>
        <w:rPr>
          <w:rFonts w:ascii="Garamond" w:hAnsi="Garamond"/>
          <w:sz w:val="26"/>
          <w:szCs w:val="26"/>
          <w:lang w:val="en-GB"/>
        </w:rPr>
      </w:pPr>
      <w:r w:rsidRPr="00A62171">
        <w:rPr>
          <w:rFonts w:ascii="Garamond" w:hAnsi="Garamond"/>
          <w:sz w:val="26"/>
          <w:szCs w:val="26"/>
          <w:lang w:val="en-GB"/>
        </w:rPr>
        <w:t>Approval by “</w:t>
      </w:r>
      <w:proofErr w:type="spellStart"/>
      <w:r w:rsidRPr="00A62171">
        <w:rPr>
          <w:rFonts w:ascii="Garamond" w:hAnsi="Garamond"/>
          <w:sz w:val="26"/>
          <w:szCs w:val="26"/>
          <w:lang w:val="en-GB"/>
        </w:rPr>
        <w:t>Bevillingssekretariatet</w:t>
      </w:r>
      <w:proofErr w:type="spellEnd"/>
      <w:r w:rsidRPr="00A62171">
        <w:rPr>
          <w:rFonts w:ascii="Garamond" w:hAnsi="Garamond"/>
          <w:sz w:val="26"/>
          <w:szCs w:val="26"/>
          <w:lang w:val="en-GB"/>
        </w:rPr>
        <w:t>” (located under “My Distribution Groups”)</w:t>
      </w:r>
    </w:p>
    <w:p w14:paraId="793B2F17" w14:textId="348733B4" w:rsidR="004835B9" w:rsidRDefault="004835B9" w:rsidP="00A62171">
      <w:pPr>
        <w:pStyle w:val="Listeafsnit"/>
        <w:numPr>
          <w:ilvl w:val="0"/>
          <w:numId w:val="1"/>
        </w:numPr>
        <w:rPr>
          <w:rFonts w:ascii="Garamond" w:hAnsi="Garamond"/>
          <w:sz w:val="26"/>
          <w:szCs w:val="26"/>
          <w:lang w:val="en-GB"/>
        </w:rPr>
      </w:pPr>
      <w:r w:rsidRPr="00A62171">
        <w:rPr>
          <w:rFonts w:ascii="Garamond" w:hAnsi="Garamond"/>
          <w:sz w:val="26"/>
          <w:szCs w:val="26"/>
          <w:lang w:val="en-GB"/>
        </w:rPr>
        <w:t xml:space="preserve">Approval by the State Secretary for Development Policy </w:t>
      </w:r>
    </w:p>
    <w:p w14:paraId="1DDC05C5" w14:textId="41D7591B" w:rsidR="00A62171" w:rsidRPr="00A62171" w:rsidRDefault="00A62171" w:rsidP="00A62171">
      <w:pPr>
        <w:rPr>
          <w:rFonts w:ascii="Garamond" w:hAnsi="Garamond"/>
          <w:sz w:val="26"/>
          <w:szCs w:val="26"/>
          <w:lang w:val="en-GB"/>
        </w:rPr>
      </w:pPr>
      <w:r>
        <w:rPr>
          <w:rFonts w:ascii="Garamond" w:hAnsi="Garamond"/>
          <w:sz w:val="26"/>
          <w:szCs w:val="26"/>
          <w:lang w:val="en-GB"/>
        </w:rPr>
        <w:t xml:space="preserve">Remember to copy relevant recipients to the approval flow, e.g. the unit’s CFO, relevant </w:t>
      </w:r>
      <w:r w:rsidR="00727342">
        <w:rPr>
          <w:rFonts w:ascii="Garamond" w:hAnsi="Garamond"/>
          <w:sz w:val="26"/>
          <w:szCs w:val="26"/>
          <w:lang w:val="en-GB"/>
        </w:rPr>
        <w:t xml:space="preserve">colleagues </w:t>
      </w:r>
      <w:r>
        <w:rPr>
          <w:rFonts w:ascii="Garamond" w:hAnsi="Garamond"/>
          <w:sz w:val="26"/>
          <w:szCs w:val="26"/>
          <w:lang w:val="en-GB"/>
        </w:rPr>
        <w:t xml:space="preserve">from LEARNING and/or TILSKUD or from other relevant entities. </w:t>
      </w:r>
    </w:p>
    <w:p w14:paraId="38381166" w14:textId="53A0934E" w:rsidR="006D2AB8" w:rsidRPr="00A62171" w:rsidRDefault="006D2AB8" w:rsidP="00A62171">
      <w:pPr>
        <w:rPr>
          <w:rFonts w:ascii="Garamond" w:hAnsi="Garamond"/>
          <w:b/>
          <w:bCs/>
          <w:sz w:val="26"/>
          <w:szCs w:val="26"/>
          <w:lang w:val="en-GB"/>
        </w:rPr>
      </w:pPr>
      <w:r w:rsidRPr="00A62171">
        <w:rPr>
          <w:rFonts w:ascii="Garamond" w:hAnsi="Garamond"/>
          <w:b/>
          <w:bCs/>
          <w:sz w:val="26"/>
          <w:szCs w:val="26"/>
          <w:lang w:val="en-GB"/>
        </w:rPr>
        <w:t>Approval process for top</w:t>
      </w:r>
      <w:r w:rsidR="00255AF1">
        <w:rPr>
          <w:rFonts w:ascii="Garamond" w:hAnsi="Garamond"/>
          <w:b/>
          <w:bCs/>
          <w:sz w:val="26"/>
          <w:szCs w:val="26"/>
          <w:lang w:val="en-GB"/>
        </w:rPr>
        <w:t xml:space="preserve"> </w:t>
      </w:r>
      <w:r w:rsidRPr="00A62171">
        <w:rPr>
          <w:rFonts w:ascii="Garamond" w:hAnsi="Garamond"/>
          <w:b/>
          <w:bCs/>
          <w:sz w:val="26"/>
          <w:szCs w:val="26"/>
          <w:lang w:val="en-GB"/>
        </w:rPr>
        <w:t xml:space="preserve">ups </w:t>
      </w:r>
      <w:r w:rsidRPr="00A62171">
        <w:rPr>
          <w:rFonts w:ascii="Garamond" w:hAnsi="Garamond"/>
          <w:b/>
          <w:bCs/>
          <w:sz w:val="26"/>
          <w:szCs w:val="26"/>
          <w:u w:val="single"/>
          <w:lang w:val="en-GB"/>
        </w:rPr>
        <w:t>below DKK 10 million</w:t>
      </w:r>
      <w:r w:rsidRPr="00A62171">
        <w:rPr>
          <w:rFonts w:ascii="Garamond" w:hAnsi="Garamond"/>
          <w:b/>
          <w:bCs/>
          <w:sz w:val="26"/>
          <w:szCs w:val="26"/>
          <w:lang w:val="en-GB"/>
        </w:rPr>
        <w:t xml:space="preserve"> (“</w:t>
      </w:r>
      <w:proofErr w:type="spellStart"/>
      <w:r w:rsidRPr="00A62171">
        <w:rPr>
          <w:rFonts w:ascii="Garamond" w:hAnsi="Garamond"/>
          <w:b/>
          <w:bCs/>
          <w:sz w:val="26"/>
          <w:szCs w:val="26"/>
          <w:lang w:val="en-GB"/>
        </w:rPr>
        <w:t>Bevillingssekretariatet</w:t>
      </w:r>
      <w:proofErr w:type="spellEnd"/>
      <w:r w:rsidRPr="00A62171">
        <w:rPr>
          <w:rFonts w:ascii="Garamond" w:hAnsi="Garamond"/>
          <w:b/>
          <w:bCs/>
          <w:sz w:val="26"/>
          <w:szCs w:val="26"/>
          <w:lang w:val="en-GB"/>
        </w:rPr>
        <w:t>”):</w:t>
      </w:r>
    </w:p>
    <w:p w14:paraId="27F50EB7" w14:textId="3653FBB1" w:rsidR="00802C80" w:rsidRPr="00A62171" w:rsidRDefault="006D2AB8" w:rsidP="00A62171">
      <w:pPr>
        <w:rPr>
          <w:rFonts w:ascii="Garamond" w:hAnsi="Garamond"/>
          <w:sz w:val="26"/>
          <w:szCs w:val="26"/>
          <w:lang w:val="en-GB"/>
        </w:rPr>
      </w:pPr>
      <w:r w:rsidRPr="00A62171">
        <w:rPr>
          <w:rFonts w:ascii="Garamond" w:hAnsi="Garamond"/>
          <w:sz w:val="26"/>
          <w:szCs w:val="26"/>
          <w:lang w:val="en-GB"/>
        </w:rPr>
        <w:t>The final approval of top</w:t>
      </w:r>
      <w:r w:rsidR="00255AF1">
        <w:rPr>
          <w:rFonts w:ascii="Garamond" w:hAnsi="Garamond"/>
          <w:sz w:val="26"/>
          <w:szCs w:val="26"/>
          <w:lang w:val="en-GB"/>
        </w:rPr>
        <w:t xml:space="preserve"> </w:t>
      </w:r>
      <w:r w:rsidRPr="00A62171">
        <w:rPr>
          <w:rFonts w:ascii="Garamond" w:hAnsi="Garamond"/>
          <w:sz w:val="26"/>
          <w:szCs w:val="26"/>
          <w:lang w:val="en-GB"/>
        </w:rPr>
        <w:t xml:space="preserve">ups </w:t>
      </w:r>
      <w:r w:rsidRPr="00A62171">
        <w:rPr>
          <w:rFonts w:ascii="Garamond" w:hAnsi="Garamond"/>
          <w:sz w:val="26"/>
          <w:szCs w:val="26"/>
          <w:u w:val="single"/>
          <w:lang w:val="en-GB"/>
        </w:rPr>
        <w:t>below 10 million DKK</w:t>
      </w:r>
      <w:r w:rsidRPr="00A62171">
        <w:rPr>
          <w:rFonts w:ascii="Garamond" w:hAnsi="Garamond"/>
          <w:sz w:val="26"/>
          <w:szCs w:val="26"/>
          <w:lang w:val="en-GB"/>
        </w:rPr>
        <w:t xml:space="preserve"> is made by the Head of Department. </w:t>
      </w:r>
      <w:r w:rsidR="00802C80" w:rsidRPr="00A62171">
        <w:rPr>
          <w:rFonts w:ascii="Garamond" w:hAnsi="Garamond"/>
          <w:sz w:val="26"/>
          <w:szCs w:val="26"/>
          <w:lang w:val="en-GB"/>
        </w:rPr>
        <w:t>If the top</w:t>
      </w:r>
      <w:r w:rsidR="00255AF1">
        <w:rPr>
          <w:rFonts w:ascii="Garamond" w:hAnsi="Garamond"/>
          <w:sz w:val="26"/>
          <w:szCs w:val="26"/>
          <w:lang w:val="en-GB"/>
        </w:rPr>
        <w:t xml:space="preserve"> </w:t>
      </w:r>
      <w:r w:rsidR="00802C80" w:rsidRPr="00A62171">
        <w:rPr>
          <w:rFonts w:ascii="Garamond" w:hAnsi="Garamond"/>
          <w:sz w:val="26"/>
          <w:szCs w:val="26"/>
          <w:lang w:val="en-GB"/>
        </w:rPr>
        <w:t xml:space="preserve">up is </w:t>
      </w:r>
      <w:r w:rsidR="00802C80" w:rsidRPr="00A62171">
        <w:rPr>
          <w:rFonts w:ascii="Garamond" w:hAnsi="Garamond"/>
          <w:sz w:val="26"/>
          <w:szCs w:val="26"/>
          <w:u w:val="single"/>
          <w:lang w:val="en-GB"/>
        </w:rPr>
        <w:t>below 10 million DKK</w:t>
      </w:r>
      <w:r w:rsidR="00802C80" w:rsidRPr="00A62171">
        <w:rPr>
          <w:rFonts w:ascii="Garamond" w:hAnsi="Garamond"/>
          <w:sz w:val="26"/>
          <w:szCs w:val="26"/>
          <w:lang w:val="en-GB"/>
        </w:rPr>
        <w:t>, the unit are requested to submit the documentation through Public 360° and use the following approval flow:</w:t>
      </w:r>
    </w:p>
    <w:p w14:paraId="04CFFB11" w14:textId="175974F1" w:rsidR="00802C80" w:rsidRPr="00A62171" w:rsidRDefault="00802C80" w:rsidP="00A62171">
      <w:pPr>
        <w:pStyle w:val="Listeafsnit"/>
        <w:numPr>
          <w:ilvl w:val="0"/>
          <w:numId w:val="3"/>
        </w:numPr>
        <w:rPr>
          <w:rFonts w:ascii="Garamond" w:hAnsi="Garamond"/>
          <w:sz w:val="26"/>
          <w:szCs w:val="26"/>
          <w:lang w:val="en-GB"/>
        </w:rPr>
      </w:pPr>
      <w:r w:rsidRPr="00A62171">
        <w:rPr>
          <w:rFonts w:ascii="Garamond" w:hAnsi="Garamond"/>
          <w:sz w:val="26"/>
          <w:szCs w:val="26"/>
          <w:lang w:val="en-GB"/>
        </w:rPr>
        <w:lastRenderedPageBreak/>
        <w:t>Approval by “</w:t>
      </w:r>
      <w:proofErr w:type="spellStart"/>
      <w:r w:rsidRPr="00A62171">
        <w:rPr>
          <w:rFonts w:ascii="Garamond" w:hAnsi="Garamond"/>
          <w:sz w:val="26"/>
          <w:szCs w:val="26"/>
          <w:lang w:val="en-GB"/>
        </w:rPr>
        <w:t>Bevillingssekretariatet</w:t>
      </w:r>
      <w:proofErr w:type="spellEnd"/>
      <w:r w:rsidRPr="00A62171">
        <w:rPr>
          <w:rFonts w:ascii="Garamond" w:hAnsi="Garamond"/>
          <w:sz w:val="26"/>
          <w:szCs w:val="26"/>
          <w:lang w:val="en-GB"/>
        </w:rPr>
        <w:t>” (located under “My Distribution Groups”)</w:t>
      </w:r>
    </w:p>
    <w:p w14:paraId="5DE80D14" w14:textId="57D14C10" w:rsidR="00802C80" w:rsidRDefault="00802C80" w:rsidP="00A62171">
      <w:pPr>
        <w:pStyle w:val="Listeafsnit"/>
        <w:numPr>
          <w:ilvl w:val="0"/>
          <w:numId w:val="3"/>
        </w:numPr>
        <w:rPr>
          <w:rFonts w:ascii="Garamond" w:hAnsi="Garamond"/>
          <w:sz w:val="26"/>
          <w:szCs w:val="26"/>
          <w:lang w:val="en-GB"/>
        </w:rPr>
      </w:pPr>
      <w:r w:rsidRPr="00A62171">
        <w:rPr>
          <w:rFonts w:ascii="Garamond" w:hAnsi="Garamond"/>
          <w:sz w:val="26"/>
          <w:szCs w:val="26"/>
          <w:lang w:val="en-GB"/>
        </w:rPr>
        <w:t>Approval by the Head of Department</w:t>
      </w:r>
    </w:p>
    <w:p w14:paraId="135FD6C9" w14:textId="7D823D0B" w:rsidR="00A62171" w:rsidRPr="00A62171" w:rsidRDefault="00A62171" w:rsidP="00A62171">
      <w:pPr>
        <w:rPr>
          <w:rFonts w:ascii="Garamond" w:hAnsi="Garamond"/>
          <w:sz w:val="26"/>
          <w:szCs w:val="26"/>
          <w:lang w:val="en-GB"/>
        </w:rPr>
      </w:pPr>
      <w:r w:rsidRPr="00A62171">
        <w:rPr>
          <w:rFonts w:ascii="Garamond" w:hAnsi="Garamond"/>
          <w:sz w:val="26"/>
          <w:szCs w:val="26"/>
          <w:lang w:val="en-GB"/>
        </w:rPr>
        <w:t xml:space="preserve">Remember to copy relevant recipients to the approval flow, e.g. the unit’s CFO, relevant </w:t>
      </w:r>
      <w:r w:rsidR="00727342">
        <w:rPr>
          <w:rFonts w:ascii="Garamond" w:hAnsi="Garamond"/>
          <w:sz w:val="26"/>
          <w:szCs w:val="26"/>
          <w:lang w:val="en-GB"/>
        </w:rPr>
        <w:t>colleagues</w:t>
      </w:r>
      <w:r w:rsidR="00727342" w:rsidRPr="00A62171">
        <w:rPr>
          <w:rFonts w:ascii="Garamond" w:hAnsi="Garamond"/>
          <w:sz w:val="26"/>
          <w:szCs w:val="26"/>
          <w:lang w:val="en-GB"/>
        </w:rPr>
        <w:t xml:space="preserve"> </w:t>
      </w:r>
      <w:r w:rsidRPr="00A62171">
        <w:rPr>
          <w:rFonts w:ascii="Garamond" w:hAnsi="Garamond"/>
          <w:sz w:val="26"/>
          <w:szCs w:val="26"/>
          <w:lang w:val="en-GB"/>
        </w:rPr>
        <w:t xml:space="preserve">from LEARNING and/or TILSKUD or from other relevant entities. </w:t>
      </w:r>
    </w:p>
    <w:p w14:paraId="7C3B2618" w14:textId="355D777D" w:rsidR="004835B9" w:rsidRPr="00A62171" w:rsidRDefault="004835B9" w:rsidP="00A62171">
      <w:pPr>
        <w:rPr>
          <w:rFonts w:ascii="Garamond" w:hAnsi="Garamond"/>
          <w:b/>
          <w:bCs/>
          <w:sz w:val="26"/>
          <w:szCs w:val="26"/>
          <w:lang w:val="en-GB"/>
        </w:rPr>
      </w:pPr>
      <w:r w:rsidRPr="00A62171">
        <w:rPr>
          <w:rFonts w:ascii="Garamond" w:hAnsi="Garamond"/>
          <w:b/>
          <w:bCs/>
          <w:sz w:val="26"/>
          <w:szCs w:val="26"/>
          <w:lang w:val="en-GB"/>
        </w:rPr>
        <w:t xml:space="preserve">The role of LEARNING </w:t>
      </w:r>
    </w:p>
    <w:p w14:paraId="3B743ACD" w14:textId="0043ADEA" w:rsidR="00611B9C" w:rsidRDefault="004835B9" w:rsidP="00C909B2">
      <w:pPr>
        <w:rPr>
          <w:rFonts w:ascii="Garamond" w:hAnsi="Garamond"/>
          <w:b/>
          <w:bCs/>
          <w:sz w:val="26"/>
          <w:szCs w:val="26"/>
          <w:lang w:val="en-GB"/>
        </w:rPr>
      </w:pPr>
      <w:r w:rsidRPr="00A62171">
        <w:rPr>
          <w:rFonts w:ascii="Garamond" w:hAnsi="Garamond"/>
          <w:sz w:val="26"/>
          <w:szCs w:val="26"/>
          <w:lang w:val="en-GB"/>
        </w:rPr>
        <w:t xml:space="preserve">LEARNING will </w:t>
      </w:r>
      <w:r w:rsidRPr="00A62171">
        <w:rPr>
          <w:rFonts w:ascii="Garamond" w:hAnsi="Garamond"/>
          <w:sz w:val="26"/>
          <w:szCs w:val="26"/>
          <w:u w:val="single"/>
          <w:lang w:val="en-GB"/>
        </w:rPr>
        <w:t>not</w:t>
      </w:r>
      <w:r w:rsidRPr="00A62171">
        <w:rPr>
          <w:rFonts w:ascii="Garamond" w:hAnsi="Garamond"/>
          <w:sz w:val="26"/>
          <w:szCs w:val="26"/>
          <w:lang w:val="en-GB"/>
        </w:rPr>
        <w:t xml:space="preserve"> quality assure the documentation for a top-up</w:t>
      </w:r>
      <w:r w:rsidR="00611B9C">
        <w:rPr>
          <w:rFonts w:ascii="Garamond" w:hAnsi="Garamond"/>
          <w:sz w:val="26"/>
          <w:szCs w:val="26"/>
          <w:lang w:val="en-GB"/>
        </w:rPr>
        <w:t xml:space="preserve"> but only </w:t>
      </w:r>
      <w:r w:rsidRPr="00A62171">
        <w:rPr>
          <w:rFonts w:ascii="Garamond" w:hAnsi="Garamond"/>
          <w:sz w:val="26"/>
          <w:szCs w:val="26"/>
          <w:lang w:val="en-GB"/>
        </w:rPr>
        <w:t>check that the mandatory documents are attached. LEARNING</w:t>
      </w:r>
      <w:r w:rsidR="00892712">
        <w:rPr>
          <w:rFonts w:ascii="Garamond" w:hAnsi="Garamond"/>
          <w:sz w:val="26"/>
          <w:szCs w:val="26"/>
          <w:lang w:val="en-GB"/>
        </w:rPr>
        <w:t xml:space="preserve"> (</w:t>
      </w:r>
      <w:proofErr w:type="spellStart"/>
      <w:r w:rsidR="00892712">
        <w:rPr>
          <w:rFonts w:ascii="Garamond" w:hAnsi="Garamond"/>
          <w:sz w:val="26"/>
          <w:szCs w:val="26"/>
          <w:lang w:val="en-GB"/>
        </w:rPr>
        <w:t>bevillingssekretariatet</w:t>
      </w:r>
      <w:proofErr w:type="spellEnd"/>
      <w:r w:rsidR="00892712">
        <w:rPr>
          <w:rFonts w:ascii="Garamond" w:hAnsi="Garamond"/>
          <w:sz w:val="26"/>
          <w:szCs w:val="26"/>
          <w:lang w:val="en-GB"/>
        </w:rPr>
        <w:t>)</w:t>
      </w:r>
      <w:r w:rsidRPr="00A62171">
        <w:rPr>
          <w:rFonts w:ascii="Garamond" w:hAnsi="Garamond"/>
          <w:sz w:val="26"/>
          <w:szCs w:val="26"/>
          <w:lang w:val="en-GB"/>
        </w:rPr>
        <w:t xml:space="preserve"> will be available for clarifications regarding the approval process.</w:t>
      </w:r>
    </w:p>
    <w:p w14:paraId="786AD43F" w14:textId="77777777" w:rsidR="00A26FEE" w:rsidRDefault="00A26FEE" w:rsidP="00C909B2">
      <w:pPr>
        <w:rPr>
          <w:rFonts w:ascii="Garamond" w:hAnsi="Garamond"/>
          <w:b/>
          <w:bCs/>
          <w:sz w:val="26"/>
          <w:szCs w:val="26"/>
          <w:lang w:val="en-GB"/>
        </w:rPr>
      </w:pPr>
    </w:p>
    <w:p w14:paraId="5AC19469" w14:textId="7B7FFF1C" w:rsidR="00802C80" w:rsidRPr="00C909B2" w:rsidRDefault="00802C80" w:rsidP="00C909B2">
      <w:pPr>
        <w:rPr>
          <w:rFonts w:ascii="Garamond" w:hAnsi="Garamond"/>
          <w:b/>
          <w:bCs/>
          <w:sz w:val="26"/>
          <w:szCs w:val="26"/>
          <w:lang w:val="en-GB"/>
        </w:rPr>
      </w:pPr>
      <w:r w:rsidRPr="00A62171">
        <w:rPr>
          <w:rFonts w:ascii="Garamond" w:hAnsi="Garamond"/>
          <w:b/>
          <w:bCs/>
          <w:sz w:val="26"/>
          <w:szCs w:val="26"/>
          <w:lang w:val="en-GB"/>
        </w:rPr>
        <w:t>Overview of procedures for approval of top</w:t>
      </w:r>
      <w:r w:rsidR="00255AF1">
        <w:rPr>
          <w:rFonts w:ascii="Garamond" w:hAnsi="Garamond"/>
          <w:b/>
          <w:bCs/>
          <w:sz w:val="26"/>
          <w:szCs w:val="26"/>
          <w:lang w:val="en-GB"/>
        </w:rPr>
        <w:t xml:space="preserve"> </w:t>
      </w:r>
      <w:r w:rsidRPr="00A62171">
        <w:rPr>
          <w:rFonts w:ascii="Garamond" w:hAnsi="Garamond"/>
          <w:b/>
          <w:bCs/>
          <w:sz w:val="26"/>
          <w:szCs w:val="26"/>
          <w:lang w:val="en-GB"/>
        </w:rPr>
        <w:t>ups</w:t>
      </w:r>
    </w:p>
    <w:p w14:paraId="4F676872" w14:textId="77777777" w:rsidR="00802C80" w:rsidRPr="00A62171" w:rsidRDefault="00802C80" w:rsidP="00A62171">
      <w:pPr>
        <w:pStyle w:val="Listeafsnit"/>
        <w:ind w:left="0"/>
        <w:jc w:val="both"/>
        <w:rPr>
          <w:rFonts w:ascii="Garamond" w:hAnsi="Garamond"/>
          <w:sz w:val="26"/>
          <w:szCs w:val="26"/>
          <w:lang w:val="en-GB"/>
        </w:rPr>
      </w:pPr>
      <w:r w:rsidRPr="00A62171">
        <w:rPr>
          <w:rFonts w:ascii="Garamond" w:hAnsi="Garamond"/>
          <w:noProof/>
          <w:sz w:val="26"/>
          <w:szCs w:val="26"/>
          <w:lang w:val="en-GB"/>
        </w:rPr>
        <mc:AlternateContent>
          <mc:Choice Requires="wps">
            <w:drawing>
              <wp:anchor distT="0" distB="0" distL="114300" distR="114300" simplePos="0" relativeHeight="251662336" behindDoc="0" locked="0" layoutInCell="1" allowOverlap="1" wp14:anchorId="18BB54A9" wp14:editId="65AB87A5">
                <wp:simplePos x="0" y="0"/>
                <wp:positionH relativeFrom="margin">
                  <wp:posOffset>-280475</wp:posOffset>
                </wp:positionH>
                <wp:positionV relativeFrom="paragraph">
                  <wp:posOffset>89193</wp:posOffset>
                </wp:positionV>
                <wp:extent cx="6893170" cy="2998177"/>
                <wp:effectExtent l="0" t="0" r="22225" b="12065"/>
                <wp:wrapNone/>
                <wp:docPr id="1" name="Rectangle 1"/>
                <wp:cNvGraphicFramePr/>
                <a:graphic xmlns:a="http://schemas.openxmlformats.org/drawingml/2006/main">
                  <a:graphicData uri="http://schemas.microsoft.com/office/word/2010/wordprocessingShape">
                    <wps:wsp>
                      <wps:cNvSpPr/>
                      <wps:spPr>
                        <a:xfrm>
                          <a:off x="0" y="0"/>
                          <a:ext cx="6893170" cy="2998177"/>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B568D5" id="Rectangle 1" o:spid="_x0000_s1026" style="position:absolute;margin-left:-22.1pt;margin-top:7pt;width:542.75pt;height:236.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" fillcolor="white [3201]" strokecolor="black [3200]" strokeweight="1.5pt">
                <w10:wrap anchorx="margin"/>
              </v:rect>
            </w:pict>
          </mc:Fallback>
        </mc:AlternateContent>
      </w:r>
      <w:r w:rsidRPr="00A62171">
        <w:rPr>
          <w:rFonts w:ascii="Garamond" w:hAnsi="Garamond"/>
          <w:noProof/>
          <w:sz w:val="26"/>
          <w:szCs w:val="26"/>
        </w:rPr>
        <mc:AlternateContent>
          <mc:Choice Requires="wps">
            <w:drawing>
              <wp:anchor distT="0" distB="0" distL="114300" distR="114300" simplePos="0" relativeHeight="251663360" behindDoc="0" locked="0" layoutInCell="1" allowOverlap="1" wp14:anchorId="007FC440" wp14:editId="40986FAA">
                <wp:simplePos x="0" y="0"/>
                <wp:positionH relativeFrom="page">
                  <wp:posOffset>421054</wp:posOffset>
                </wp:positionH>
                <wp:positionV relativeFrom="paragraph">
                  <wp:posOffset>105605</wp:posOffset>
                </wp:positionV>
                <wp:extent cx="6954130" cy="501015"/>
                <wp:effectExtent l="0" t="0" r="0" b="0"/>
                <wp:wrapNone/>
                <wp:docPr id="2" name="Title 1">
                  <a:extLst xmlns:a="http://schemas.openxmlformats.org/drawingml/2006/main">
                    <a:ext uri="{FF2B5EF4-FFF2-40B4-BE49-F238E27FC236}">
                      <a16:creationId xmlns:a16="http://schemas.microsoft.com/office/drawing/2014/main" id="{26D85A01-6B75-4BF9-BA75-CC14DB0A229D}"/>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954130" cy="501015"/>
                        </a:xfrm>
                        <a:prstGeom prst="rect">
                          <a:avLst/>
                        </a:prstGeom>
                      </wps:spPr>
                      <wps:txbx>
                        <w:txbxContent>
                          <w:p w14:paraId="6EF35854" w14:textId="77777777" w:rsidR="00802C80" w:rsidRPr="007B3EE9" w:rsidRDefault="00802C80" w:rsidP="00802C80">
                            <w:pPr>
                              <w:spacing w:line="216" w:lineRule="auto"/>
                              <w:jc w:val="center"/>
                              <w:rPr>
                                <w:rFonts w:ascii="Diplomacy Office Bold" w:eastAsia="+mj-ea" w:hAnsi="Diplomacy Office Bold" w:cs="+mj-cs"/>
                                <w:color w:val="E52020"/>
                                <w:kern w:val="24"/>
                                <w:sz w:val="36"/>
                                <w:szCs w:val="36"/>
                                <w:lang w:val="en-GB"/>
                              </w:rPr>
                            </w:pPr>
                            <w:r w:rsidRPr="007B3EE9">
                              <w:rPr>
                                <w:rFonts w:ascii="Diplomacy Office Bold" w:eastAsia="+mj-ea" w:hAnsi="Diplomacy Office Bold" w:cs="+mj-cs"/>
                                <w:color w:val="E52020"/>
                                <w:kern w:val="24"/>
                                <w:sz w:val="36"/>
                                <w:szCs w:val="36"/>
                                <w:lang w:val="en-GB"/>
                              </w:rPr>
                              <w:br/>
                              <w:t>Process for development and approval of top</w:t>
                            </w:r>
                            <w:r>
                              <w:rPr>
                                <w:rFonts w:ascii="Diplomacy Office Bold" w:eastAsia="+mj-ea" w:hAnsi="Diplomacy Office Bold" w:cs="+mj-cs"/>
                                <w:color w:val="E52020"/>
                                <w:kern w:val="24"/>
                                <w:sz w:val="36"/>
                                <w:szCs w:val="36"/>
                                <w:lang w:val="en-GB"/>
                              </w:rPr>
                              <w:t xml:space="preserve"> </w:t>
                            </w:r>
                            <w:r w:rsidRPr="007B3EE9">
                              <w:rPr>
                                <w:rFonts w:ascii="Diplomacy Office Bold" w:eastAsia="+mj-ea" w:hAnsi="Diplomacy Office Bold" w:cs="+mj-cs"/>
                                <w:color w:val="E52020"/>
                                <w:kern w:val="24"/>
                                <w:sz w:val="36"/>
                                <w:szCs w:val="36"/>
                                <w:lang w:val="en-GB"/>
                              </w:rPr>
                              <w:t>ups</w:t>
                            </w:r>
                          </w:p>
                        </w:txbxContent>
                      </wps:txbx>
                      <wps:bodyPr vert="horz"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rect w14:anchorId="007FC440" id="Title 1" o:spid="_x0000_s1026" style="position:absolute;left:0;text-align:left;margin-left:33.15pt;margin-top:8.3pt;width:547.55pt;height:39.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" filled="f" stroked="f">
                <o:lock v:ext="edit" grouping="t"/>
                <v:textbox inset="0,0,0,0">
                  <w:txbxContent>
                    <w:p w14:paraId="6EF35854" w14:textId="77777777" w:rsidR="00802C80" w:rsidRPr="007B3EE9" w:rsidRDefault="00802C80" w:rsidP="00802C80">
                      <w:pPr>
                        <w:spacing w:line="216" w:lineRule="auto"/>
                        <w:jc w:val="center"/>
                        <w:rPr>
                          <w:rFonts w:ascii="Diplomacy Office Bold" w:eastAsia="+mj-ea" w:hAnsi="Diplomacy Office Bold" w:cs="+mj-cs"/>
                          <w:color w:val="E52020"/>
                          <w:kern w:val="24"/>
                          <w:sz w:val="36"/>
                          <w:szCs w:val="36"/>
                          <w:lang w:val="en-GB"/>
                        </w:rPr>
                      </w:pPr>
                      <w:r w:rsidRPr="007B3EE9">
                        <w:rPr>
                          <w:rFonts w:ascii="Diplomacy Office Bold" w:eastAsia="+mj-ea" w:hAnsi="Diplomacy Office Bold" w:cs="+mj-cs"/>
                          <w:color w:val="E52020"/>
                          <w:kern w:val="24"/>
                          <w:sz w:val="36"/>
                          <w:szCs w:val="36"/>
                          <w:lang w:val="en-GB"/>
                        </w:rPr>
                        <w:br/>
                        <w:t>Process for development and approval of top</w:t>
                      </w:r>
                      <w:r>
                        <w:rPr>
                          <w:rFonts w:ascii="Diplomacy Office Bold" w:eastAsia="+mj-ea" w:hAnsi="Diplomacy Office Bold" w:cs="+mj-cs"/>
                          <w:color w:val="E52020"/>
                          <w:kern w:val="24"/>
                          <w:sz w:val="36"/>
                          <w:szCs w:val="36"/>
                          <w:lang w:val="en-GB"/>
                        </w:rPr>
                        <w:t xml:space="preserve"> </w:t>
                      </w:r>
                      <w:r w:rsidRPr="007B3EE9">
                        <w:rPr>
                          <w:rFonts w:ascii="Diplomacy Office Bold" w:eastAsia="+mj-ea" w:hAnsi="Diplomacy Office Bold" w:cs="+mj-cs"/>
                          <w:color w:val="E52020"/>
                          <w:kern w:val="24"/>
                          <w:sz w:val="36"/>
                          <w:szCs w:val="36"/>
                          <w:lang w:val="en-GB"/>
                        </w:rPr>
                        <w:t>ups</w:t>
                      </w:r>
                    </w:p>
                  </w:txbxContent>
                </v:textbox>
                <w10:wrap anchorx="page"/>
              </v:rect>
            </w:pict>
          </mc:Fallback>
        </mc:AlternateContent>
      </w:r>
    </w:p>
    <w:p w14:paraId="4D1EB142" w14:textId="77777777" w:rsidR="00802C80" w:rsidRPr="00A62171" w:rsidRDefault="00802C80" w:rsidP="00A62171">
      <w:pPr>
        <w:pStyle w:val="Listeafsnit"/>
        <w:ind w:left="0"/>
        <w:jc w:val="both"/>
        <w:rPr>
          <w:rFonts w:ascii="Garamond" w:hAnsi="Garamond"/>
          <w:sz w:val="26"/>
          <w:szCs w:val="26"/>
          <w:lang w:val="en-GB"/>
        </w:rPr>
      </w:pPr>
      <w:r w:rsidRPr="00A62171">
        <w:rPr>
          <w:rFonts w:ascii="Garamond" w:hAnsi="Garamond"/>
          <w:sz w:val="26"/>
          <w:szCs w:val="26"/>
          <w:lang w:val="en-GB"/>
        </w:rPr>
        <w:t xml:space="preserve"> </w:t>
      </w:r>
      <w:r w:rsidRPr="00A62171">
        <w:rPr>
          <w:rFonts w:ascii="Garamond" w:hAnsi="Garamond"/>
          <w:noProof/>
          <w:sz w:val="26"/>
          <w:szCs w:val="26"/>
        </w:rPr>
        <mc:AlternateContent>
          <mc:Choice Requires="wps">
            <w:drawing>
              <wp:anchor distT="0" distB="0" distL="114300" distR="114300" simplePos="0" relativeHeight="251664384" behindDoc="0" locked="0" layoutInCell="1" allowOverlap="1" wp14:anchorId="3300B13D" wp14:editId="3C9C465B">
                <wp:simplePos x="0" y="0"/>
                <wp:positionH relativeFrom="column">
                  <wp:posOffset>8448675</wp:posOffset>
                </wp:positionH>
                <wp:positionV relativeFrom="paragraph">
                  <wp:posOffset>2261235</wp:posOffset>
                </wp:positionV>
                <wp:extent cx="1500327" cy="1080856"/>
                <wp:effectExtent l="0" t="0" r="24130" b="24130"/>
                <wp:wrapNone/>
                <wp:docPr id="15" name="Rectangle 14">
                  <a:extLst xmlns:a="http://schemas.openxmlformats.org/drawingml/2006/main">
                    <a:ext uri="{FF2B5EF4-FFF2-40B4-BE49-F238E27FC236}">
                      <a16:creationId xmlns:a16="http://schemas.microsoft.com/office/drawing/2014/main" id="{8A90D5A8-90EC-4B0A-BBFA-7CAA010C61C5}"/>
                    </a:ext>
                  </a:extLst>
                </wp:docPr>
                <wp:cNvGraphicFramePr/>
                <a:graphic xmlns:a="http://schemas.openxmlformats.org/drawingml/2006/main">
                  <a:graphicData uri="http://schemas.microsoft.com/office/word/2010/wordprocessingShape">
                    <wps:wsp>
                      <wps:cNvSpPr/>
                      <wps:spPr>
                        <a:xfrm>
                          <a:off x="0" y="0"/>
                          <a:ext cx="1500327" cy="1080856"/>
                        </a:xfrm>
                        <a:prstGeom prst="rect">
                          <a:avLst/>
                        </a:prstGeom>
                        <a:solidFill>
                          <a:srgbClr val="97A595"/>
                        </a:solidFill>
                        <a:ln w="12700" cap="flat" cmpd="sng" algn="ctr">
                          <a:solidFill>
                            <a:srgbClr val="E52020">
                              <a:shade val="50000"/>
                            </a:srgbClr>
                          </a:solidFill>
                          <a:prstDash val="solid"/>
                          <a:miter lim="800000"/>
                        </a:ln>
                        <a:effectLst/>
                      </wps:spPr>
                      <wps:txbx>
                        <w:txbxContent>
                          <w:p w14:paraId="08907B04" w14:textId="77777777" w:rsidR="00802C80" w:rsidRPr="00EA33E6" w:rsidRDefault="00802C80" w:rsidP="00802C80">
                            <w:pPr>
                              <w:jc w:val="center"/>
                              <w:rPr>
                                <w:rFonts w:ascii="Noto Sans" w:eastAsia="+mn-ea" w:hAnsi="Noto Sans" w:cs="+mn-cs"/>
                                <w:color w:val="FFFFFF"/>
                                <w:kern w:val="24"/>
                                <w:sz w:val="24"/>
                                <w:szCs w:val="24"/>
                                <w:lang w:val="en-GB"/>
                              </w:rPr>
                            </w:pPr>
                            <w:r w:rsidRPr="00EA33E6">
                              <w:rPr>
                                <w:rFonts w:ascii="Noto Sans" w:eastAsia="+mn-ea" w:hAnsi="Noto Sans" w:cs="+mn-cs"/>
                                <w:color w:val="FFFFFF"/>
                                <w:kern w:val="24"/>
                                <w:lang w:val="en-GB"/>
                              </w:rPr>
                              <w:t xml:space="preserve">Approval by Director or Vice-Director </w:t>
                            </w:r>
                          </w:p>
                        </w:txbxContent>
                      </wps:txbx>
                      <wps:bodyPr rtlCol="0" anchor="ctr"/>
                    </wps:wsp>
                  </a:graphicData>
                </a:graphic>
              </wp:anchor>
            </w:drawing>
          </mc:Choice>
          <mc:Fallback>
            <w:pict>
              <v:rect w14:anchorId="3300B13D" id="Rectangle 14" o:spid="_x0000_s1027" style="position:absolute;left:0;text-align:left;margin-left:665.25pt;margin-top:178.05pt;width:118.15pt;height:85.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" fillcolor="#97a595" strokecolor="#a81414" strokeweight="1pt">
                <v:textbox>
                  <w:txbxContent>
                    <w:p w14:paraId="08907B04" w14:textId="77777777" w:rsidR="00802C80" w:rsidRPr="00EA33E6" w:rsidRDefault="00802C80" w:rsidP="00802C80">
                      <w:pPr>
                        <w:jc w:val="center"/>
                        <w:rPr>
                          <w:rFonts w:ascii="Noto Sans" w:eastAsia="+mn-ea" w:hAnsi="Noto Sans" w:cs="+mn-cs"/>
                          <w:color w:val="FFFFFF"/>
                          <w:kern w:val="24"/>
                          <w:sz w:val="24"/>
                          <w:szCs w:val="24"/>
                          <w:lang w:val="en-GB"/>
                        </w:rPr>
                      </w:pPr>
                      <w:r w:rsidRPr="00EA33E6">
                        <w:rPr>
                          <w:rFonts w:ascii="Noto Sans" w:eastAsia="+mn-ea" w:hAnsi="Noto Sans" w:cs="+mn-cs"/>
                          <w:color w:val="FFFFFF"/>
                          <w:kern w:val="24"/>
                          <w:lang w:val="en-GB"/>
                        </w:rPr>
                        <w:t xml:space="preserve">Approval by Director or Vice-Director </w:t>
                      </w:r>
                    </w:p>
                  </w:txbxContent>
                </v:textbox>
              </v:rect>
            </w:pict>
          </mc:Fallback>
        </mc:AlternateContent>
      </w:r>
    </w:p>
    <w:p w14:paraId="2D8314A2" w14:textId="77777777" w:rsidR="00802C80" w:rsidRPr="00A62171" w:rsidRDefault="00802C80" w:rsidP="00A62171">
      <w:pPr>
        <w:pStyle w:val="Listeafsnit"/>
        <w:ind w:left="0"/>
        <w:jc w:val="both"/>
        <w:rPr>
          <w:rFonts w:ascii="Garamond" w:hAnsi="Garamond"/>
          <w:sz w:val="26"/>
          <w:szCs w:val="26"/>
          <w:lang w:val="en-GB"/>
        </w:rPr>
      </w:pPr>
      <w:r w:rsidRPr="00A62171">
        <w:rPr>
          <w:rFonts w:ascii="Garamond" w:hAnsi="Garamond"/>
          <w:noProof/>
          <w:sz w:val="26"/>
          <w:szCs w:val="26"/>
        </w:rPr>
        <mc:AlternateContent>
          <mc:Choice Requires="wpg">
            <w:drawing>
              <wp:anchor distT="0" distB="0" distL="114300" distR="114300" simplePos="0" relativeHeight="251665408" behindDoc="0" locked="0" layoutInCell="1" allowOverlap="1" wp14:anchorId="5243D8B0" wp14:editId="0FDCCAA8">
                <wp:simplePos x="0" y="0"/>
                <wp:positionH relativeFrom="margin">
                  <wp:posOffset>-56236</wp:posOffset>
                </wp:positionH>
                <wp:positionV relativeFrom="paragraph">
                  <wp:posOffset>577850</wp:posOffset>
                </wp:positionV>
                <wp:extent cx="6435970" cy="1863529"/>
                <wp:effectExtent l="0" t="0" r="22225" b="22860"/>
                <wp:wrapNone/>
                <wp:docPr id="42" name="Group 3"/>
                <wp:cNvGraphicFramePr/>
                <a:graphic xmlns:a="http://schemas.openxmlformats.org/drawingml/2006/main">
                  <a:graphicData uri="http://schemas.microsoft.com/office/word/2010/wordprocessingGroup">
                    <wpg:wgp>
                      <wpg:cNvGrpSpPr/>
                      <wpg:grpSpPr>
                        <a:xfrm>
                          <a:off x="0" y="0"/>
                          <a:ext cx="6435970" cy="1863529"/>
                          <a:chOff x="0" y="0"/>
                          <a:chExt cx="8475673" cy="1582611"/>
                        </a:xfrm>
                      </wpg:grpSpPr>
                      <wps:wsp>
                        <wps:cNvPr id="43" name="Callout: Right Arrow 43"/>
                        <wps:cNvSpPr/>
                        <wps:spPr>
                          <a:xfrm>
                            <a:off x="0" y="2"/>
                            <a:ext cx="1575494" cy="1582609"/>
                          </a:xfrm>
                          <a:prstGeom prst="rightArrowCallout">
                            <a:avLst/>
                          </a:prstGeom>
                          <a:solidFill>
                            <a:srgbClr val="97A595"/>
                          </a:solidFill>
                          <a:ln w="12700" cap="flat" cmpd="sng" algn="ctr">
                            <a:solidFill>
                              <a:srgbClr val="E52020">
                                <a:shade val="50000"/>
                              </a:srgbClr>
                            </a:solidFill>
                            <a:prstDash val="solid"/>
                            <a:miter lim="800000"/>
                          </a:ln>
                          <a:effectLst/>
                        </wps:spPr>
                        <wps:txbx>
                          <w:txbxContent>
                            <w:p w14:paraId="29CBFC88" w14:textId="77777777" w:rsidR="00802C80" w:rsidRDefault="00802C80" w:rsidP="00802C80">
                              <w:pPr>
                                <w:jc w:val="center"/>
                                <w:rPr>
                                  <w:rFonts w:asciiTheme="minorHAnsi" w:hAnsi="Calibri"/>
                                  <w:color w:val="FFFFFF" w:themeColor="light1"/>
                                  <w:kern w:val="24"/>
                                  <w:sz w:val="24"/>
                                  <w:szCs w:val="24"/>
                                </w:rPr>
                              </w:pPr>
                              <w:r>
                                <w:rPr>
                                  <w:rFonts w:asciiTheme="minorHAnsi" w:hAnsi="Calibri"/>
                                  <w:color w:val="FFFFFF" w:themeColor="light1"/>
                                  <w:kern w:val="24"/>
                                </w:rPr>
                                <w:t xml:space="preserve">The 8 criteria are met </w:t>
                              </w:r>
                            </w:p>
                          </w:txbxContent>
                        </wps:txbx>
                        <wps:bodyPr rtlCol="0" anchor="ctr"/>
                      </wps:wsp>
                      <wps:wsp>
                        <wps:cNvPr id="44" name="Callout: Right Arrow 44"/>
                        <wps:cNvSpPr/>
                        <wps:spPr>
                          <a:xfrm>
                            <a:off x="1675349" y="1"/>
                            <a:ext cx="1664156" cy="1582609"/>
                          </a:xfrm>
                          <a:prstGeom prst="rightArrowCallout">
                            <a:avLst/>
                          </a:prstGeom>
                          <a:solidFill>
                            <a:srgbClr val="E52020"/>
                          </a:solidFill>
                          <a:ln w="12700" cap="flat" cmpd="sng" algn="ctr">
                            <a:solidFill>
                              <a:srgbClr val="E52020">
                                <a:shade val="50000"/>
                              </a:srgbClr>
                            </a:solidFill>
                            <a:prstDash val="solid"/>
                            <a:miter lim="800000"/>
                          </a:ln>
                          <a:effectLst/>
                        </wps:spPr>
                        <wps:txbx>
                          <w:txbxContent>
                            <w:p w14:paraId="4EC15FDE" w14:textId="77777777" w:rsidR="00802C80" w:rsidRDefault="00802C80" w:rsidP="00802C80">
                              <w:pPr>
                                <w:jc w:val="center"/>
                                <w:rPr>
                                  <w:rFonts w:asciiTheme="minorHAnsi" w:hAnsi="Calibri"/>
                                  <w:color w:val="FFFFFF" w:themeColor="light1"/>
                                  <w:kern w:val="24"/>
                                  <w:sz w:val="24"/>
                                  <w:szCs w:val="24"/>
                                </w:rPr>
                              </w:pPr>
                              <w:r>
                                <w:rPr>
                                  <w:rFonts w:asciiTheme="minorHAnsi" w:hAnsi="Calibri"/>
                                  <w:color w:val="FFFFFF" w:themeColor="light1"/>
                                  <w:kern w:val="24"/>
                                </w:rPr>
                                <w:t xml:space="preserve">Unit develops standard documenta-tion </w:t>
                              </w:r>
                            </w:p>
                          </w:txbxContent>
                        </wps:txbx>
                        <wps:bodyPr rtlCol="0" anchor="ctr"/>
                      </wps:wsp>
                      <wps:wsp>
                        <wps:cNvPr id="45" name="Callout: Right Arrow 45"/>
                        <wps:cNvSpPr/>
                        <wps:spPr>
                          <a:xfrm>
                            <a:off x="3439197" y="2"/>
                            <a:ext cx="1685996" cy="1582609"/>
                          </a:xfrm>
                          <a:prstGeom prst="rightArrowCallout">
                            <a:avLst/>
                          </a:prstGeom>
                          <a:solidFill>
                            <a:srgbClr val="97A595"/>
                          </a:solidFill>
                          <a:ln w="12700" cap="flat" cmpd="sng" algn="ctr">
                            <a:solidFill>
                              <a:srgbClr val="E52020">
                                <a:shade val="50000"/>
                              </a:srgbClr>
                            </a:solidFill>
                            <a:prstDash val="solid"/>
                            <a:miter lim="800000"/>
                          </a:ln>
                          <a:effectLst/>
                        </wps:spPr>
                        <wps:txbx>
                          <w:txbxContent>
                            <w:p w14:paraId="4C0078F4" w14:textId="28975432" w:rsidR="00802C80" w:rsidRPr="00E97E04" w:rsidRDefault="00802C80" w:rsidP="00802C80">
                              <w:pPr>
                                <w:jc w:val="center"/>
                                <w:rPr>
                                  <w:rFonts w:asciiTheme="minorHAnsi" w:hAnsi="Calibri"/>
                                  <w:color w:val="FFFFFF" w:themeColor="light1"/>
                                  <w:kern w:val="24"/>
                                  <w:sz w:val="24"/>
                                  <w:szCs w:val="24"/>
                                  <w:lang w:val="en-GB"/>
                                </w:rPr>
                              </w:pPr>
                              <w:r w:rsidRPr="00E97E04">
                                <w:rPr>
                                  <w:rFonts w:asciiTheme="minorHAnsi" w:hAnsi="Calibri"/>
                                  <w:color w:val="FFFFFF" w:themeColor="light1"/>
                                  <w:kern w:val="24"/>
                                  <w:lang w:val="en-GB"/>
                                </w:rPr>
                                <w:t xml:space="preserve">Unit submits for approval through </w:t>
                              </w:r>
                              <w:r>
                                <w:rPr>
                                  <w:rFonts w:asciiTheme="minorHAnsi" w:hAnsi="Calibri"/>
                                  <w:color w:val="FFFFFF" w:themeColor="light1"/>
                                  <w:kern w:val="24"/>
                                  <w:lang w:val="en-GB"/>
                                </w:rPr>
                                <w:t>“Bevillingssekretariatet”</w:t>
                              </w:r>
                              <w:r w:rsidRPr="00E97E04">
                                <w:rPr>
                                  <w:rFonts w:asciiTheme="minorHAnsi" w:hAnsi="Calibri"/>
                                  <w:color w:val="FFFFFF" w:themeColor="light1"/>
                                  <w:kern w:val="24"/>
                                  <w:lang w:val="en-GB"/>
                                </w:rPr>
                                <w:t xml:space="preserve"> in LÆRING </w:t>
                              </w:r>
                            </w:p>
                          </w:txbxContent>
                        </wps:txbx>
                        <wps:bodyPr rtlCol="0" anchor="ctr"/>
                      </wps:wsp>
                      <wps:wsp>
                        <wps:cNvPr id="46" name="Callout: Right Arrow 46"/>
                        <wps:cNvSpPr/>
                        <wps:spPr>
                          <a:xfrm>
                            <a:off x="5181178" y="0"/>
                            <a:ext cx="1893460" cy="1582609"/>
                          </a:xfrm>
                          <a:prstGeom prst="rightArrowCallout">
                            <a:avLst/>
                          </a:prstGeom>
                          <a:solidFill>
                            <a:srgbClr val="E52020"/>
                          </a:solidFill>
                          <a:ln w="12700" cap="flat" cmpd="sng" algn="ctr">
                            <a:solidFill>
                              <a:srgbClr val="E52020">
                                <a:shade val="50000"/>
                              </a:srgbClr>
                            </a:solidFill>
                            <a:prstDash val="solid"/>
                            <a:miter lim="800000"/>
                          </a:ln>
                          <a:effectLst/>
                        </wps:spPr>
                        <wps:txbx>
                          <w:txbxContent>
                            <w:p w14:paraId="60BEE398" w14:textId="0BFBA7EE" w:rsidR="00802C80" w:rsidRPr="00E97E04" w:rsidRDefault="00802C80" w:rsidP="00802C80">
                              <w:pPr>
                                <w:jc w:val="center"/>
                                <w:rPr>
                                  <w:rFonts w:asciiTheme="minorHAnsi" w:hAnsi="Calibri"/>
                                  <w:color w:val="FFFFFF" w:themeColor="light1"/>
                                  <w:kern w:val="24"/>
                                  <w:sz w:val="24"/>
                                  <w:szCs w:val="24"/>
                                  <w:lang w:val="en-GB"/>
                                </w:rPr>
                              </w:pPr>
                              <w:r w:rsidRPr="00E97E04">
                                <w:rPr>
                                  <w:rFonts w:asciiTheme="minorHAnsi" w:hAnsi="Calibri"/>
                                  <w:color w:val="FFFFFF" w:themeColor="light1"/>
                                  <w:kern w:val="24"/>
                                  <w:lang w:val="en-GB"/>
                                </w:rPr>
                                <w:t xml:space="preserve">LÆRING checks </w:t>
                              </w:r>
                              <w:r>
                                <w:rPr>
                                  <w:rFonts w:asciiTheme="minorHAnsi" w:hAnsi="Calibri"/>
                                  <w:color w:val="FFFFFF" w:themeColor="light1"/>
                                  <w:kern w:val="24"/>
                                  <w:lang w:val="en-GB"/>
                                </w:rPr>
                                <w:t xml:space="preserve">required </w:t>
                              </w:r>
                              <w:r w:rsidRPr="00E97E04">
                                <w:rPr>
                                  <w:rFonts w:asciiTheme="minorHAnsi" w:hAnsi="Calibri"/>
                                  <w:color w:val="FFFFFF" w:themeColor="light1"/>
                                  <w:kern w:val="24"/>
                                  <w:lang w:val="en-GB"/>
                                </w:rPr>
                                <w:t>documenta-tion</w:t>
                              </w:r>
                              <w:r>
                                <w:rPr>
                                  <w:rFonts w:asciiTheme="minorHAnsi" w:hAnsi="Calibri"/>
                                  <w:color w:val="FFFFFF" w:themeColor="light1"/>
                                  <w:kern w:val="24"/>
                                  <w:lang w:val="en-GB"/>
                                </w:rPr>
                                <w:t xml:space="preserve"> is submitted</w:t>
                              </w:r>
                              <w:r w:rsidRPr="00E97E04">
                                <w:rPr>
                                  <w:rFonts w:asciiTheme="minorHAnsi" w:hAnsi="Calibri"/>
                                  <w:color w:val="FFFFFF" w:themeColor="light1"/>
                                  <w:kern w:val="24"/>
                                  <w:lang w:val="en-GB"/>
                                </w:rPr>
                                <w:t xml:space="preserve"> (max 5 days) </w:t>
                              </w:r>
                            </w:p>
                          </w:txbxContent>
                        </wps:txbx>
                        <wps:bodyPr rtlCol="0" anchor="ctr"/>
                      </wps:wsp>
                      <wps:wsp>
                        <wps:cNvPr id="47" name="Rectangle 47"/>
                        <wps:cNvSpPr/>
                        <wps:spPr>
                          <a:xfrm>
                            <a:off x="7158585" y="530354"/>
                            <a:ext cx="1317088" cy="601578"/>
                          </a:xfrm>
                          <a:prstGeom prst="rect">
                            <a:avLst/>
                          </a:prstGeom>
                          <a:solidFill>
                            <a:srgbClr val="97A595"/>
                          </a:solidFill>
                          <a:ln w="12700" cap="flat" cmpd="sng" algn="ctr">
                            <a:solidFill>
                              <a:srgbClr val="E52020">
                                <a:shade val="50000"/>
                              </a:srgbClr>
                            </a:solidFill>
                            <a:prstDash val="solid"/>
                            <a:miter lim="800000"/>
                          </a:ln>
                          <a:effectLst/>
                        </wps:spPr>
                        <wps:txbx>
                          <w:txbxContent>
                            <w:p w14:paraId="01D683B2" w14:textId="77777777" w:rsidR="00802C80" w:rsidRPr="00E97E04" w:rsidRDefault="00802C80" w:rsidP="00802C80">
                              <w:pPr>
                                <w:jc w:val="center"/>
                                <w:rPr>
                                  <w:rFonts w:asciiTheme="minorHAnsi" w:hAnsi="Calibri"/>
                                  <w:color w:val="FFFFFF" w:themeColor="light1"/>
                                  <w:kern w:val="24"/>
                                  <w:sz w:val="24"/>
                                  <w:szCs w:val="24"/>
                                  <w:lang w:val="en-GB"/>
                                </w:rPr>
                              </w:pPr>
                              <w:r w:rsidRPr="00E97E04">
                                <w:rPr>
                                  <w:rFonts w:asciiTheme="minorHAnsi" w:hAnsi="Calibri"/>
                                  <w:color w:val="FFFFFF" w:themeColor="light1"/>
                                  <w:kern w:val="24"/>
                                  <w:lang w:val="en-GB"/>
                                </w:rPr>
                                <w:t>Approval by Director or Vice</w:t>
                              </w:r>
                              <w:r>
                                <w:rPr>
                                  <w:rFonts w:asciiTheme="minorHAnsi" w:hAnsi="Calibri"/>
                                  <w:color w:val="FFFFFF" w:themeColor="light1"/>
                                  <w:kern w:val="24"/>
                                  <w:lang w:val="en-GB"/>
                                </w:rPr>
                                <w:t xml:space="preserve"> </w:t>
                              </w:r>
                              <w:r w:rsidRPr="00E97E04">
                                <w:rPr>
                                  <w:rFonts w:asciiTheme="minorHAnsi" w:hAnsi="Calibri"/>
                                  <w:color w:val="FFFFFF" w:themeColor="light1"/>
                                  <w:kern w:val="24"/>
                                  <w:lang w:val="en-GB"/>
                                </w:rPr>
                                <w:t xml:space="preserve">Director </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243D8B0" id="Group 3" o:spid="_x0000_s1028" style="position:absolute;left:0;text-align:left;margin-left:-4.45pt;margin-top:45.5pt;width:506.75pt;height:146.75pt;z-index:251665408;mso-position-horizontal-relative:margin;mso-width-relative:margin;mso-height-relative:margin" coordsize="84756,15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43" o:spid="_x0000_s1029" type="#_x0000_t78" style="position:absolute;width:15754;height:15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" adj="14035,5424,16200,8112" fillcolor="#97a595" strokecolor="#a81414" strokeweight="1pt">
                  <v:textbox>
                    <w:txbxContent>
                      <w:p w14:paraId="29CBFC88" w14:textId="77777777" w:rsidR="00802C80" w:rsidRDefault="00802C80" w:rsidP="00802C80">
                        <w:pPr>
                          <w:jc w:val="center"/>
                          <w:rPr>
                            <w:rFonts w:asciiTheme="minorHAnsi" w:hAnsi="Calibri"/>
                            <w:color w:val="FFFFFF" w:themeColor="light1"/>
                            <w:kern w:val="24"/>
                            <w:sz w:val="24"/>
                            <w:szCs w:val="24"/>
                          </w:rPr>
                        </w:pPr>
                        <w:r>
                          <w:rPr>
                            <w:rFonts w:asciiTheme="minorHAnsi" w:hAnsi="Calibri"/>
                            <w:color w:val="FFFFFF" w:themeColor="light1"/>
                            <w:kern w:val="24"/>
                          </w:rPr>
                          <w:t xml:space="preserve">The 8 criteria are met </w:t>
                        </w:r>
                      </w:p>
                    </w:txbxContent>
                  </v:textbox>
                </v:shape>
                <v:shape id="Callout: Right Arrow 44" o:spid="_x0000_s1030" type="#_x0000_t78" style="position:absolute;left:16753;width:16642;height:15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" adj="14035,,16465" fillcolor="#e52020" strokecolor="#a81414" strokeweight="1pt">
                  <v:textbox>
                    <w:txbxContent>
                      <w:p w14:paraId="4EC15FDE" w14:textId="77777777" w:rsidR="00802C80" w:rsidRDefault="00802C80" w:rsidP="00802C80">
                        <w:pPr>
                          <w:jc w:val="center"/>
                          <w:rPr>
                            <w:rFonts w:asciiTheme="minorHAnsi" w:hAnsi="Calibri"/>
                            <w:color w:val="FFFFFF" w:themeColor="light1"/>
                            <w:kern w:val="24"/>
                            <w:sz w:val="24"/>
                            <w:szCs w:val="24"/>
                          </w:rPr>
                        </w:pPr>
                        <w:r>
                          <w:rPr>
                            <w:rFonts w:asciiTheme="minorHAnsi" w:hAnsi="Calibri"/>
                            <w:color w:val="FFFFFF" w:themeColor="light1"/>
                            <w:kern w:val="24"/>
                          </w:rPr>
                          <w:t xml:space="preserve">Unit develops standard documenta-tion </w:t>
                        </w:r>
                      </w:p>
                    </w:txbxContent>
                  </v:textbox>
                </v:shape>
                <v:shape id="Callout: Right Arrow 45" o:spid="_x0000_s1031" type="#_x0000_t78" style="position:absolute;left:34391;width:16860;height:15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" adj="14035,,16531" fillcolor="#97a595" strokecolor="#a81414" strokeweight="1pt">
                  <v:textbox>
                    <w:txbxContent>
                      <w:p w14:paraId="4C0078F4" w14:textId="28975432" w:rsidR="00802C80" w:rsidRPr="00E97E04" w:rsidRDefault="00802C80" w:rsidP="00802C80">
                        <w:pPr>
                          <w:jc w:val="center"/>
                          <w:rPr>
                            <w:rFonts w:asciiTheme="minorHAnsi" w:hAnsi="Calibri"/>
                            <w:color w:val="FFFFFF" w:themeColor="light1"/>
                            <w:kern w:val="24"/>
                            <w:sz w:val="24"/>
                            <w:szCs w:val="24"/>
                            <w:lang w:val="en-GB"/>
                          </w:rPr>
                        </w:pPr>
                        <w:r w:rsidRPr="00E97E04">
                          <w:rPr>
                            <w:rFonts w:asciiTheme="minorHAnsi" w:hAnsi="Calibri"/>
                            <w:color w:val="FFFFFF" w:themeColor="light1"/>
                            <w:kern w:val="24"/>
                            <w:lang w:val="en-GB"/>
                          </w:rPr>
                          <w:t xml:space="preserve">Unit submits for approval through </w:t>
                        </w:r>
                        <w:r>
                          <w:rPr>
                            <w:rFonts w:asciiTheme="minorHAnsi" w:hAnsi="Calibri"/>
                            <w:color w:val="FFFFFF" w:themeColor="light1"/>
                            <w:kern w:val="24"/>
                            <w:lang w:val="en-GB"/>
                          </w:rPr>
                          <w:t>“Bevillingssekretariatet”</w:t>
                        </w:r>
                        <w:r w:rsidRPr="00E97E04">
                          <w:rPr>
                            <w:rFonts w:asciiTheme="minorHAnsi" w:hAnsi="Calibri"/>
                            <w:color w:val="FFFFFF" w:themeColor="light1"/>
                            <w:kern w:val="24"/>
                            <w:lang w:val="en-GB"/>
                          </w:rPr>
                          <w:t xml:space="preserve"> in LÆRING </w:t>
                        </w:r>
                      </w:p>
                    </w:txbxContent>
                  </v:textbox>
                </v:shape>
                <v:shape id="Callout: Right Arrow 46" o:spid="_x0000_s1032" type="#_x0000_t78" style="position:absolute;left:51811;width:18935;height:15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" adj="14035,,17087" fillcolor="#e52020" strokecolor="#a81414" strokeweight="1pt">
                  <v:textbox>
                    <w:txbxContent>
                      <w:p w14:paraId="60BEE398" w14:textId="0BFBA7EE" w:rsidR="00802C80" w:rsidRPr="00E97E04" w:rsidRDefault="00802C80" w:rsidP="00802C80">
                        <w:pPr>
                          <w:jc w:val="center"/>
                          <w:rPr>
                            <w:rFonts w:asciiTheme="minorHAnsi" w:hAnsi="Calibri"/>
                            <w:color w:val="FFFFFF" w:themeColor="light1"/>
                            <w:kern w:val="24"/>
                            <w:sz w:val="24"/>
                            <w:szCs w:val="24"/>
                            <w:lang w:val="en-GB"/>
                          </w:rPr>
                        </w:pPr>
                        <w:r w:rsidRPr="00E97E04">
                          <w:rPr>
                            <w:rFonts w:asciiTheme="minorHAnsi" w:hAnsi="Calibri"/>
                            <w:color w:val="FFFFFF" w:themeColor="light1"/>
                            <w:kern w:val="24"/>
                            <w:lang w:val="en-GB"/>
                          </w:rPr>
                          <w:t xml:space="preserve">LÆRING checks </w:t>
                        </w:r>
                        <w:r>
                          <w:rPr>
                            <w:rFonts w:asciiTheme="minorHAnsi" w:hAnsi="Calibri"/>
                            <w:color w:val="FFFFFF" w:themeColor="light1"/>
                            <w:kern w:val="24"/>
                            <w:lang w:val="en-GB"/>
                          </w:rPr>
                          <w:t xml:space="preserve">required </w:t>
                        </w:r>
                        <w:r w:rsidRPr="00E97E04">
                          <w:rPr>
                            <w:rFonts w:asciiTheme="minorHAnsi" w:hAnsi="Calibri"/>
                            <w:color w:val="FFFFFF" w:themeColor="light1"/>
                            <w:kern w:val="24"/>
                            <w:lang w:val="en-GB"/>
                          </w:rPr>
                          <w:t>documenta-tion</w:t>
                        </w:r>
                        <w:r>
                          <w:rPr>
                            <w:rFonts w:asciiTheme="minorHAnsi" w:hAnsi="Calibri"/>
                            <w:color w:val="FFFFFF" w:themeColor="light1"/>
                            <w:kern w:val="24"/>
                            <w:lang w:val="en-GB"/>
                          </w:rPr>
                          <w:t xml:space="preserve"> is submitted</w:t>
                        </w:r>
                        <w:r w:rsidRPr="00E97E04">
                          <w:rPr>
                            <w:rFonts w:asciiTheme="minorHAnsi" w:hAnsi="Calibri"/>
                            <w:color w:val="FFFFFF" w:themeColor="light1"/>
                            <w:kern w:val="24"/>
                            <w:lang w:val="en-GB"/>
                          </w:rPr>
                          <w:t xml:space="preserve"> (max 5 days) </w:t>
                        </w:r>
                      </w:p>
                    </w:txbxContent>
                  </v:textbox>
                </v:shape>
                <v:rect id="Rectangle 47" o:spid="_x0000_s1033" style="position:absolute;left:71585;top:5303;width:13171;height:6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" fillcolor="#97a595" strokecolor="#a81414" strokeweight="1pt">
                  <v:textbox>
                    <w:txbxContent>
                      <w:p w14:paraId="01D683B2" w14:textId="77777777" w:rsidR="00802C80" w:rsidRPr="00E97E04" w:rsidRDefault="00802C80" w:rsidP="00802C80">
                        <w:pPr>
                          <w:jc w:val="center"/>
                          <w:rPr>
                            <w:rFonts w:asciiTheme="minorHAnsi" w:hAnsi="Calibri"/>
                            <w:color w:val="FFFFFF" w:themeColor="light1"/>
                            <w:kern w:val="24"/>
                            <w:sz w:val="24"/>
                            <w:szCs w:val="24"/>
                            <w:lang w:val="en-GB"/>
                          </w:rPr>
                        </w:pPr>
                        <w:r w:rsidRPr="00E97E04">
                          <w:rPr>
                            <w:rFonts w:asciiTheme="minorHAnsi" w:hAnsi="Calibri"/>
                            <w:color w:val="FFFFFF" w:themeColor="light1"/>
                            <w:kern w:val="24"/>
                            <w:lang w:val="en-GB"/>
                          </w:rPr>
                          <w:t>Approval by Director or Vice</w:t>
                        </w:r>
                        <w:r>
                          <w:rPr>
                            <w:rFonts w:asciiTheme="minorHAnsi" w:hAnsi="Calibri"/>
                            <w:color w:val="FFFFFF" w:themeColor="light1"/>
                            <w:kern w:val="24"/>
                            <w:lang w:val="en-GB"/>
                          </w:rPr>
                          <w:t xml:space="preserve"> </w:t>
                        </w:r>
                        <w:r w:rsidRPr="00E97E04">
                          <w:rPr>
                            <w:rFonts w:asciiTheme="minorHAnsi" w:hAnsi="Calibri"/>
                            <w:color w:val="FFFFFF" w:themeColor="light1"/>
                            <w:kern w:val="24"/>
                            <w:lang w:val="en-GB"/>
                          </w:rPr>
                          <w:t xml:space="preserve">Director </w:t>
                        </w:r>
                      </w:p>
                    </w:txbxContent>
                  </v:textbox>
                </v:rect>
                <w10:wrap anchorx="margin"/>
              </v:group>
            </w:pict>
          </mc:Fallback>
        </mc:AlternateContent>
      </w:r>
    </w:p>
    <w:p w14:paraId="2A4EBB0D" w14:textId="77777777" w:rsidR="00802C80" w:rsidRPr="00A62171" w:rsidRDefault="00802C80" w:rsidP="00A62171">
      <w:pPr>
        <w:rPr>
          <w:rFonts w:ascii="Garamond" w:hAnsi="Garamond"/>
          <w:b/>
          <w:bCs/>
          <w:sz w:val="26"/>
          <w:szCs w:val="26"/>
          <w:lang w:val="en-GB"/>
        </w:rPr>
      </w:pPr>
    </w:p>
    <w:sectPr w:rsidR="00802C80" w:rsidRPr="00A62171">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DD25" w14:textId="77777777" w:rsidR="00F63EFD" w:rsidRDefault="00F63EFD" w:rsidP="00C909B2">
      <w:pPr>
        <w:spacing w:after="0" w:line="240" w:lineRule="auto"/>
      </w:pPr>
      <w:r>
        <w:separator/>
      </w:r>
    </w:p>
  </w:endnote>
  <w:endnote w:type="continuationSeparator" w:id="0">
    <w:p w14:paraId="78071A4E" w14:textId="77777777" w:rsidR="00F63EFD" w:rsidRDefault="00F63EFD" w:rsidP="00C90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iplomacy Office Bold">
    <w:panose1 w:val="00000800000000000000"/>
    <w:charset w:val="00"/>
    <w:family w:val="auto"/>
    <w:pitch w:val="variable"/>
    <w:sig w:usb0="00000003" w:usb1="00000000" w:usb2="00000000" w:usb3="00000000" w:csb0="00000001" w:csb1="00000000"/>
  </w:font>
  <w:font w:name="+mj-ea">
    <w:panose1 w:val="00000000000000000000"/>
    <w:charset w:val="00"/>
    <w:family w:val="roman"/>
    <w:notTrueType/>
    <w:pitch w:val="default"/>
  </w:font>
  <w:font w:name="+mj-cs">
    <w:panose1 w:val="00000000000000000000"/>
    <w:charset w:val="00"/>
    <w:family w:val="roman"/>
    <w:notTrueType/>
    <w:pitch w:val="default"/>
  </w:font>
  <w:font w:name="Noto Sans">
    <w:charset w:val="00"/>
    <w:family w:val="swiss"/>
    <w:pitch w:val="variable"/>
    <w:sig w:usb0="E00002FF" w:usb1="4000001F" w:usb2="08000029"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066459"/>
      <w:docPartObj>
        <w:docPartGallery w:val="Page Numbers (Bottom of Page)"/>
        <w:docPartUnique/>
      </w:docPartObj>
    </w:sdtPr>
    <w:sdtEndPr>
      <w:rPr>
        <w:noProof/>
      </w:rPr>
    </w:sdtEndPr>
    <w:sdtContent>
      <w:p w14:paraId="7119900D" w14:textId="4034DA94" w:rsidR="00C909B2" w:rsidRDefault="00C909B2">
        <w:pPr>
          <w:pStyle w:val="Sidefod"/>
          <w:jc w:val="center"/>
        </w:pPr>
        <w:r w:rsidRPr="00C909B2">
          <w:rPr>
            <w:rFonts w:ascii="Garamond" w:hAnsi="Garamond"/>
          </w:rPr>
          <w:fldChar w:fldCharType="begin"/>
        </w:r>
        <w:r w:rsidRPr="00C909B2">
          <w:rPr>
            <w:rFonts w:ascii="Garamond" w:hAnsi="Garamond"/>
          </w:rPr>
          <w:instrText xml:space="preserve"> PAGE   \* MERGEFORMAT </w:instrText>
        </w:r>
        <w:r w:rsidRPr="00C909B2">
          <w:rPr>
            <w:rFonts w:ascii="Garamond" w:hAnsi="Garamond"/>
          </w:rPr>
          <w:fldChar w:fldCharType="separate"/>
        </w:r>
        <w:r w:rsidRPr="00C909B2">
          <w:rPr>
            <w:rFonts w:ascii="Garamond" w:hAnsi="Garamond"/>
            <w:noProof/>
          </w:rPr>
          <w:t>2</w:t>
        </w:r>
        <w:r w:rsidRPr="00C909B2">
          <w:rPr>
            <w:rFonts w:ascii="Garamond" w:hAnsi="Garamond"/>
            <w:noProof/>
          </w:rPr>
          <w:fldChar w:fldCharType="end"/>
        </w:r>
      </w:p>
    </w:sdtContent>
  </w:sdt>
  <w:p w14:paraId="522895EC" w14:textId="77777777" w:rsidR="00C909B2" w:rsidRDefault="00C909B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8186" w14:textId="77777777" w:rsidR="00F63EFD" w:rsidRDefault="00F63EFD" w:rsidP="00C909B2">
      <w:pPr>
        <w:spacing w:after="0" w:line="240" w:lineRule="auto"/>
      </w:pPr>
      <w:r>
        <w:separator/>
      </w:r>
    </w:p>
  </w:footnote>
  <w:footnote w:type="continuationSeparator" w:id="0">
    <w:p w14:paraId="6B723DA3" w14:textId="77777777" w:rsidR="00F63EFD" w:rsidRDefault="00F63EFD" w:rsidP="00C90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74B"/>
    <w:multiLevelType w:val="hybridMultilevel"/>
    <w:tmpl w:val="094E3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00058B"/>
    <w:multiLevelType w:val="hybridMultilevel"/>
    <w:tmpl w:val="1AEC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4057B1"/>
    <w:multiLevelType w:val="hybridMultilevel"/>
    <w:tmpl w:val="CA3CD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2C136A"/>
    <w:multiLevelType w:val="hybridMultilevel"/>
    <w:tmpl w:val="B68CA9C4"/>
    <w:lvl w:ilvl="0" w:tplc="7E68FDD6">
      <w:start w:val="1"/>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5353F"/>
    <w:multiLevelType w:val="hybridMultilevel"/>
    <w:tmpl w:val="5C222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9070D3"/>
    <w:multiLevelType w:val="hybridMultilevel"/>
    <w:tmpl w:val="8C60C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62"/>
    <w:rsid w:val="00136A03"/>
    <w:rsid w:val="00207CB8"/>
    <w:rsid w:val="00255AF1"/>
    <w:rsid w:val="003B10E0"/>
    <w:rsid w:val="004267A3"/>
    <w:rsid w:val="004835B9"/>
    <w:rsid w:val="00611B9C"/>
    <w:rsid w:val="006A2410"/>
    <w:rsid w:val="006D2AB8"/>
    <w:rsid w:val="007109AB"/>
    <w:rsid w:val="00727342"/>
    <w:rsid w:val="007D2987"/>
    <w:rsid w:val="00802C80"/>
    <w:rsid w:val="008309FB"/>
    <w:rsid w:val="00892712"/>
    <w:rsid w:val="00A26FEE"/>
    <w:rsid w:val="00A62171"/>
    <w:rsid w:val="00AF28EB"/>
    <w:rsid w:val="00C764F9"/>
    <w:rsid w:val="00C909B2"/>
    <w:rsid w:val="00D147C8"/>
    <w:rsid w:val="00F63EFD"/>
    <w:rsid w:val="00FB0790"/>
    <w:rsid w:val="00FF34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1AA7"/>
  <w15:chartTrackingRefBased/>
  <w15:docId w15:val="{E8F1B52D-B048-4CC6-B753-42C09A48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F3462"/>
    <w:pPr>
      <w:ind w:left="720"/>
      <w:contextualSpacing/>
    </w:pPr>
  </w:style>
  <w:style w:type="paragraph" w:styleId="Sidehoved">
    <w:name w:val="header"/>
    <w:basedOn w:val="Normal"/>
    <w:link w:val="SidehovedTegn"/>
    <w:uiPriority w:val="99"/>
    <w:unhideWhenUsed/>
    <w:rsid w:val="00C909B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909B2"/>
  </w:style>
  <w:style w:type="paragraph" w:styleId="Sidefod">
    <w:name w:val="footer"/>
    <w:basedOn w:val="Normal"/>
    <w:link w:val="SidefodTegn"/>
    <w:uiPriority w:val="99"/>
    <w:unhideWhenUsed/>
    <w:rsid w:val="00C909B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90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Blom Salmonsen</dc:creator>
  <cp:keywords/>
  <dc:description/>
  <cp:lastModifiedBy>Tina Reidl</cp:lastModifiedBy>
  <cp:revision>2</cp:revision>
  <dcterms:created xsi:type="dcterms:W3CDTF">2025-06-19T11:14:00Z</dcterms:created>
  <dcterms:modified xsi:type="dcterms:W3CDTF">2025-06-19T11:14:00Z</dcterms:modified>
</cp:coreProperties>
</file>